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16" w:rsidRPr="005F4D16" w:rsidRDefault="005F4D16" w:rsidP="005F4D16">
      <w:pPr>
        <w:spacing w:line="360" w:lineRule="auto"/>
        <w:jc w:val="center"/>
        <w:rPr>
          <w:rFonts w:ascii="Times New Roman" w:hAnsi="Times New Roman" w:cs="Times New Roman"/>
          <w:b/>
          <w:sz w:val="36"/>
          <w:szCs w:val="36"/>
        </w:rPr>
      </w:pPr>
      <w:r w:rsidRPr="005F4D16">
        <w:rPr>
          <w:noProof/>
          <w:sz w:val="36"/>
          <w:szCs w:val="36"/>
        </w:rPr>
        <w:drawing>
          <wp:anchor distT="0" distB="0" distL="114300" distR="114300" simplePos="0" relativeHeight="251658240" behindDoc="0" locked="0" layoutInCell="1" allowOverlap="1">
            <wp:simplePos x="0" y="0"/>
            <wp:positionH relativeFrom="column">
              <wp:posOffset>295275</wp:posOffset>
            </wp:positionH>
            <wp:positionV relativeFrom="paragraph">
              <wp:posOffset>-228600</wp:posOffset>
            </wp:positionV>
            <wp:extent cx="933450" cy="1828800"/>
            <wp:effectExtent l="19050" t="0" r="0" b="0"/>
            <wp:wrapNone/>
            <wp:docPr id="3" name="Picture 1" descr="S:\First Peoples Worldwide\Pictures\Graphics\Logo\FINAL black 0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rst Peoples Worldwide\Pictures\Graphics\Logo\FINAL black 03-13-08.jpg"/>
                    <pic:cNvPicPr>
                      <a:picLocks noChangeAspect="1" noChangeArrowheads="1"/>
                    </pic:cNvPicPr>
                  </pic:nvPicPr>
                  <pic:blipFill>
                    <a:blip r:embed="rId7"/>
                    <a:srcRect l="3714" r="78000"/>
                    <a:stretch>
                      <a:fillRect/>
                    </a:stretch>
                  </pic:blipFill>
                  <pic:spPr bwMode="auto">
                    <a:xfrm>
                      <a:off x="0" y="0"/>
                      <a:ext cx="933450" cy="1828800"/>
                    </a:xfrm>
                    <a:prstGeom prst="rect">
                      <a:avLst/>
                    </a:prstGeom>
                    <a:noFill/>
                    <a:ln w="9525">
                      <a:noFill/>
                      <a:miter lim="800000"/>
                      <a:headEnd/>
                      <a:tailEnd/>
                    </a:ln>
                  </pic:spPr>
                </pic:pic>
              </a:graphicData>
            </a:graphic>
          </wp:anchor>
        </w:drawing>
      </w:r>
      <w:r w:rsidRPr="005F4D16">
        <w:rPr>
          <w:rFonts w:ascii="Times New Roman" w:hAnsi="Times New Roman" w:cs="Times New Roman"/>
          <w:b/>
          <w:sz w:val="36"/>
          <w:szCs w:val="36"/>
        </w:rPr>
        <w:t>FIRST PEOPLES WORLDWIDE</w:t>
      </w:r>
    </w:p>
    <w:p w:rsidR="005F4D16" w:rsidRPr="005F4D16" w:rsidRDefault="005F4D16" w:rsidP="005F4D16">
      <w:pPr>
        <w:spacing w:line="360" w:lineRule="auto"/>
        <w:jc w:val="center"/>
        <w:rPr>
          <w:rFonts w:ascii="Times New Roman" w:hAnsi="Times New Roman" w:cs="Times New Roman"/>
          <w:b/>
          <w:sz w:val="36"/>
          <w:szCs w:val="36"/>
        </w:rPr>
      </w:pPr>
      <w:r w:rsidRPr="005F4D16">
        <w:rPr>
          <w:rFonts w:ascii="Times New Roman" w:hAnsi="Times New Roman" w:cs="Times New Roman"/>
          <w:b/>
          <w:sz w:val="36"/>
          <w:szCs w:val="36"/>
        </w:rPr>
        <w:t>CORPORATE MONITOR</w:t>
      </w:r>
    </w:p>
    <w:p w:rsidR="005F4D16" w:rsidRPr="005F4D16" w:rsidRDefault="005F4D16" w:rsidP="005F4D16">
      <w:pPr>
        <w:spacing w:line="360" w:lineRule="auto"/>
        <w:jc w:val="center"/>
        <w:rPr>
          <w:rFonts w:ascii="Times New Roman" w:hAnsi="Times New Roman" w:cs="Times New Roman"/>
          <w:b/>
          <w:sz w:val="24"/>
          <w:szCs w:val="24"/>
        </w:rPr>
      </w:pPr>
      <w:r w:rsidRPr="005F4D16">
        <w:rPr>
          <w:rFonts w:ascii="Times New Roman" w:hAnsi="Times New Roman" w:cs="Times New Roman"/>
          <w:b/>
          <w:sz w:val="24"/>
          <w:szCs w:val="24"/>
        </w:rPr>
        <w:t>OCTOBER 2012</w:t>
      </w:r>
    </w:p>
    <w:p w:rsidR="005F4D16" w:rsidRDefault="005F4D16" w:rsidP="00CB77B7">
      <w:pPr>
        <w:spacing w:line="360" w:lineRule="auto"/>
        <w:jc w:val="both"/>
        <w:rPr>
          <w:rFonts w:ascii="Times New Roman" w:hAnsi="Times New Roman" w:cs="Times New Roman"/>
          <w:b/>
          <w:sz w:val="24"/>
          <w:szCs w:val="24"/>
        </w:rPr>
      </w:pPr>
    </w:p>
    <w:p w:rsidR="00CB77B7" w:rsidRPr="009B4BEF" w:rsidRDefault="005F4D16" w:rsidP="00CB77B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Strengthening </w:t>
      </w:r>
      <w:r w:rsidR="00CB77B7" w:rsidRPr="009B4BEF">
        <w:rPr>
          <w:rFonts w:ascii="Times New Roman" w:hAnsi="Times New Roman" w:cs="Times New Roman"/>
          <w:b/>
          <w:sz w:val="24"/>
          <w:szCs w:val="24"/>
        </w:rPr>
        <w:t>the Framework for Indigenous Land Rights</w:t>
      </w:r>
    </w:p>
    <w:p w:rsidR="00CB77B7" w:rsidRPr="009B4BEF" w:rsidRDefault="00CB77B7" w:rsidP="00CB77B7">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On September 13, Peru's </w:t>
      </w:r>
      <w:hyperlink r:id="rId8" w:history="1">
        <w:r w:rsidRPr="009B4BEF">
          <w:rPr>
            <w:rStyle w:val="Hyperlink"/>
            <w:rFonts w:ascii="Times New Roman" w:hAnsi="Times New Roman" w:cs="Times New Roman"/>
            <w:sz w:val="24"/>
            <w:szCs w:val="24"/>
          </w:rPr>
          <w:t>Constitutional Tribunal</w:t>
        </w:r>
      </w:hyperlink>
      <w:r w:rsidR="00223C9C" w:rsidRPr="009B4BEF">
        <w:rPr>
          <w:rFonts w:ascii="Times New Roman" w:hAnsi="Times New Roman" w:cs="Times New Roman"/>
          <w:sz w:val="24"/>
          <w:szCs w:val="24"/>
        </w:rPr>
        <w:t xml:space="preserve"> ruled that an Indigenous community could limit outsiders' access to its territory</w:t>
      </w:r>
      <w:r w:rsidRPr="009B4BEF">
        <w:rPr>
          <w:rFonts w:ascii="Times New Roman" w:hAnsi="Times New Roman" w:cs="Times New Roman"/>
          <w:sz w:val="24"/>
          <w:szCs w:val="24"/>
        </w:rPr>
        <w:t>.  In an effort to thwart mining</w:t>
      </w:r>
      <w:r w:rsidR="0071407C" w:rsidRPr="009B4BEF">
        <w:rPr>
          <w:rFonts w:ascii="Times New Roman" w:hAnsi="Times New Roman" w:cs="Times New Roman"/>
          <w:sz w:val="24"/>
          <w:szCs w:val="24"/>
        </w:rPr>
        <w:t xml:space="preserve"> companies</w:t>
      </w:r>
      <w:r w:rsidRPr="009B4BEF">
        <w:rPr>
          <w:rFonts w:ascii="Times New Roman" w:hAnsi="Times New Roman" w:cs="Times New Roman"/>
          <w:sz w:val="24"/>
          <w:szCs w:val="24"/>
        </w:rPr>
        <w:t xml:space="preserve">, the community built a guarded gate on a dirt road passing through their lands.  Two of the companies sued the community for violating their freedom of movement.  A lower court ruled in the companies’ favor and sentenced four community leaders to fines and six years in prison.  The Constitutional Tribunal reversed this decision and nullified the community leaders’ sentences, </w:t>
      </w:r>
      <w:r w:rsidR="0071407C" w:rsidRPr="009B4BEF">
        <w:rPr>
          <w:rFonts w:ascii="Times New Roman" w:hAnsi="Times New Roman" w:cs="Times New Roman"/>
          <w:sz w:val="24"/>
          <w:szCs w:val="24"/>
        </w:rPr>
        <w:t>stating</w:t>
      </w:r>
      <w:r w:rsidRPr="009B4BEF">
        <w:rPr>
          <w:rFonts w:ascii="Times New Roman" w:hAnsi="Times New Roman" w:cs="Times New Roman"/>
          <w:sz w:val="24"/>
          <w:szCs w:val="24"/>
        </w:rPr>
        <w:t xml:space="preserve"> “while </w:t>
      </w:r>
      <w:r w:rsidRPr="009B4BEF">
        <w:rPr>
          <w:rFonts w:ascii="Times New Roman" w:hAnsi="Times New Roman" w:cs="Times New Roman"/>
          <w:sz w:val="24"/>
          <w:szCs w:val="24"/>
          <w:shd w:val="clear" w:color="auto" w:fill="FFFFFF"/>
        </w:rPr>
        <w:t>freedom of movement is a fundamental right, it is subject to certain constraints, such as not invading other people’s land without the owners’ consent</w:t>
      </w:r>
      <w:r w:rsidRPr="009B4BEF">
        <w:rPr>
          <w:rFonts w:ascii="Times New Roman" w:hAnsi="Times New Roman" w:cs="Times New Roman"/>
          <w:sz w:val="24"/>
          <w:szCs w:val="24"/>
          <w:bdr w:val="none" w:sz="0" w:space="0" w:color="auto" w:frame="1"/>
        </w:rPr>
        <w:t xml:space="preserve">.”  It </w:t>
      </w:r>
      <w:r w:rsidRPr="009B4BEF">
        <w:rPr>
          <w:rFonts w:ascii="Times New Roman" w:hAnsi="Times New Roman" w:cs="Times New Roman"/>
          <w:sz w:val="24"/>
          <w:szCs w:val="24"/>
        </w:rPr>
        <w:t xml:space="preserve">is the first Peruvian court ruling to recognize Indigenous </w:t>
      </w:r>
      <w:r w:rsidR="00533F5E" w:rsidRPr="009B4BEF">
        <w:rPr>
          <w:rFonts w:ascii="Times New Roman" w:hAnsi="Times New Roman" w:cs="Times New Roman"/>
          <w:sz w:val="24"/>
          <w:szCs w:val="24"/>
        </w:rPr>
        <w:t>Peoples'</w:t>
      </w:r>
      <w:r w:rsidRPr="009B4BEF">
        <w:rPr>
          <w:rFonts w:ascii="Times New Roman" w:hAnsi="Times New Roman" w:cs="Times New Roman"/>
          <w:sz w:val="24"/>
          <w:szCs w:val="24"/>
        </w:rPr>
        <w:t xml:space="preserve"> right to self-determination within their territory, which is mentioned in Article 89 of the </w:t>
      </w:r>
      <w:hyperlink r:id="rId9" w:history="1">
        <w:r w:rsidRPr="009B4BEF">
          <w:rPr>
            <w:rStyle w:val="Hyperlink"/>
            <w:rFonts w:ascii="Times New Roman" w:hAnsi="Times New Roman" w:cs="Times New Roman"/>
            <w:sz w:val="24"/>
            <w:szCs w:val="24"/>
          </w:rPr>
          <w:t>Peruvian Constitution</w:t>
        </w:r>
      </w:hyperlink>
      <w:r w:rsidRPr="009B4BEF">
        <w:rPr>
          <w:rFonts w:ascii="Times New Roman" w:hAnsi="Times New Roman" w:cs="Times New Roman"/>
          <w:sz w:val="24"/>
          <w:szCs w:val="24"/>
        </w:rPr>
        <w:t>.</w:t>
      </w:r>
    </w:p>
    <w:p w:rsidR="00CB77B7" w:rsidRPr="009B4BEF" w:rsidRDefault="00533F5E" w:rsidP="00CB77B7">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This</w:t>
      </w:r>
      <w:r w:rsidR="00CB77B7" w:rsidRPr="009B4BEF">
        <w:rPr>
          <w:rFonts w:ascii="Times New Roman" w:hAnsi="Times New Roman" w:cs="Times New Roman"/>
          <w:sz w:val="24"/>
          <w:szCs w:val="24"/>
        </w:rPr>
        <w:t xml:space="preserve"> ruling follows a trend of strengthening framework for Indigenous </w:t>
      </w:r>
      <w:r w:rsidRPr="009B4BEF">
        <w:rPr>
          <w:rFonts w:ascii="Times New Roman" w:hAnsi="Times New Roman" w:cs="Times New Roman"/>
          <w:sz w:val="24"/>
          <w:szCs w:val="24"/>
        </w:rPr>
        <w:t xml:space="preserve">Peoples' </w:t>
      </w:r>
      <w:r w:rsidR="00CB77B7" w:rsidRPr="009B4BEF">
        <w:rPr>
          <w:rFonts w:ascii="Times New Roman" w:hAnsi="Times New Roman" w:cs="Times New Roman"/>
          <w:sz w:val="24"/>
          <w:szCs w:val="24"/>
        </w:rPr>
        <w:t>land rights in the Peruvian Amazon, in both the public and private sectors.  On October 8, ConocoPhillips (NYSE:</w:t>
      </w:r>
      <w:r w:rsidR="00D11298" w:rsidRPr="009B4BEF">
        <w:rPr>
          <w:rFonts w:ascii="Times New Roman" w:hAnsi="Times New Roman" w:cs="Times New Roman"/>
          <w:sz w:val="24"/>
          <w:szCs w:val="24"/>
        </w:rPr>
        <w:t xml:space="preserve"> </w:t>
      </w:r>
      <w:r w:rsidR="00CB77B7" w:rsidRPr="009B4BEF">
        <w:rPr>
          <w:rFonts w:ascii="Times New Roman" w:hAnsi="Times New Roman" w:cs="Times New Roman"/>
          <w:sz w:val="24"/>
          <w:szCs w:val="24"/>
        </w:rPr>
        <w:t xml:space="preserve">COP) </w:t>
      </w:r>
      <w:r w:rsidR="00223C9C" w:rsidRPr="009B4BEF">
        <w:rPr>
          <w:rFonts w:ascii="Times New Roman" w:hAnsi="Times New Roman" w:cs="Times New Roman"/>
          <w:sz w:val="24"/>
          <w:szCs w:val="24"/>
        </w:rPr>
        <w:t>announced plans to withdraw from Blocks 123 and 129</w:t>
      </w:r>
      <w:r w:rsidR="00CB77B7" w:rsidRPr="009B4BEF">
        <w:rPr>
          <w:rFonts w:ascii="Times New Roman" w:hAnsi="Times New Roman" w:cs="Times New Roman"/>
          <w:sz w:val="24"/>
          <w:szCs w:val="24"/>
        </w:rPr>
        <w:t>, and on September 13, Talisman Energy (TSX:</w:t>
      </w:r>
      <w:r w:rsidR="00D11298" w:rsidRPr="009B4BEF">
        <w:rPr>
          <w:rFonts w:ascii="Times New Roman" w:hAnsi="Times New Roman" w:cs="Times New Roman"/>
          <w:sz w:val="24"/>
          <w:szCs w:val="24"/>
        </w:rPr>
        <w:t xml:space="preserve"> </w:t>
      </w:r>
      <w:r w:rsidR="00CB77B7" w:rsidRPr="009B4BEF">
        <w:rPr>
          <w:rFonts w:ascii="Times New Roman" w:hAnsi="Times New Roman" w:cs="Times New Roman"/>
          <w:sz w:val="24"/>
          <w:szCs w:val="24"/>
        </w:rPr>
        <w:t>TLM)</w:t>
      </w:r>
      <w:r w:rsidR="00223C9C" w:rsidRPr="009B4BEF">
        <w:rPr>
          <w:rFonts w:ascii="Times New Roman" w:hAnsi="Times New Roman" w:cs="Times New Roman"/>
          <w:sz w:val="24"/>
          <w:szCs w:val="24"/>
        </w:rPr>
        <w:t xml:space="preserve"> became the fifth oil company to withdraw from Block 64.</w:t>
      </w:r>
      <w:r w:rsidRPr="009B4BEF">
        <w:rPr>
          <w:rFonts w:ascii="Times New Roman" w:hAnsi="Times New Roman" w:cs="Times New Roman"/>
          <w:sz w:val="24"/>
          <w:szCs w:val="24"/>
        </w:rPr>
        <w:t xml:space="preserve"> </w:t>
      </w:r>
      <w:r w:rsidR="00223C9C" w:rsidRPr="009B4BEF">
        <w:rPr>
          <w:rFonts w:ascii="Times New Roman" w:hAnsi="Times New Roman" w:cs="Times New Roman"/>
          <w:sz w:val="24"/>
          <w:szCs w:val="24"/>
        </w:rPr>
        <w:t xml:space="preserve"> </w:t>
      </w:r>
      <w:r w:rsidRPr="009B4BEF">
        <w:rPr>
          <w:rFonts w:ascii="Times New Roman" w:hAnsi="Times New Roman" w:cs="Times New Roman"/>
          <w:sz w:val="24"/>
          <w:szCs w:val="24"/>
        </w:rPr>
        <w:t>Both companies</w:t>
      </w:r>
      <w:r w:rsidR="00CB77B7" w:rsidRPr="009B4BEF">
        <w:rPr>
          <w:rFonts w:ascii="Times New Roman" w:hAnsi="Times New Roman" w:cs="Times New Roman"/>
          <w:sz w:val="24"/>
          <w:szCs w:val="24"/>
        </w:rPr>
        <w:t xml:space="preserve"> failed to secure Free, Prior, and Informed Consent (FPIC) from local communities for their operations.  </w:t>
      </w:r>
      <w:r w:rsidRPr="009B4BEF">
        <w:rPr>
          <w:rFonts w:ascii="Times New Roman" w:hAnsi="Times New Roman" w:cs="Times New Roman"/>
          <w:sz w:val="24"/>
          <w:szCs w:val="24"/>
        </w:rPr>
        <w:t>In 2011, t</w:t>
      </w:r>
      <w:r w:rsidR="00CB77B7" w:rsidRPr="009B4BEF">
        <w:rPr>
          <w:rFonts w:ascii="Times New Roman" w:hAnsi="Times New Roman" w:cs="Times New Roman"/>
          <w:sz w:val="24"/>
          <w:szCs w:val="24"/>
        </w:rPr>
        <w:t>he Peruv</w:t>
      </w:r>
      <w:r w:rsidRPr="009B4BEF">
        <w:rPr>
          <w:rFonts w:ascii="Times New Roman" w:hAnsi="Times New Roman" w:cs="Times New Roman"/>
          <w:sz w:val="24"/>
          <w:szCs w:val="24"/>
        </w:rPr>
        <w:t xml:space="preserve">ian government passed a law </w:t>
      </w:r>
      <w:r w:rsidR="00CB77B7" w:rsidRPr="009B4BEF">
        <w:rPr>
          <w:rFonts w:ascii="Times New Roman" w:hAnsi="Times New Roman" w:cs="Times New Roman"/>
          <w:sz w:val="24"/>
          <w:szCs w:val="24"/>
        </w:rPr>
        <w:t xml:space="preserve">requiring companies to consult with Indigenous Peoples before operating in their territory, and </w:t>
      </w:r>
      <w:r w:rsidRPr="009B4BEF">
        <w:rPr>
          <w:rFonts w:ascii="Times New Roman" w:hAnsi="Times New Roman" w:cs="Times New Roman"/>
          <w:sz w:val="24"/>
          <w:szCs w:val="24"/>
        </w:rPr>
        <w:t xml:space="preserve">the first official consultations are </w:t>
      </w:r>
      <w:r w:rsidR="00CB77B7" w:rsidRPr="009B4BEF">
        <w:rPr>
          <w:rFonts w:ascii="Times New Roman" w:hAnsi="Times New Roman" w:cs="Times New Roman"/>
          <w:sz w:val="24"/>
          <w:szCs w:val="24"/>
        </w:rPr>
        <w:t>scheduled for February of 2013.</w:t>
      </w:r>
    </w:p>
    <w:p w:rsidR="00CB77B7" w:rsidRPr="009B4BEF" w:rsidRDefault="00CB77B7" w:rsidP="00CB77B7">
      <w:pPr>
        <w:spacing w:line="360" w:lineRule="auto"/>
        <w:jc w:val="both"/>
        <w:rPr>
          <w:rStyle w:val="Hyperlink"/>
          <w:rFonts w:ascii="Times New Roman" w:hAnsi="Times New Roman" w:cs="Times New Roman"/>
          <w:color w:val="auto"/>
          <w:sz w:val="24"/>
          <w:szCs w:val="24"/>
          <w:u w:val="none"/>
        </w:rPr>
      </w:pPr>
      <w:r w:rsidRPr="009B4BEF">
        <w:rPr>
          <w:rFonts w:ascii="Times New Roman" w:hAnsi="Times New Roman" w:cs="Times New Roman"/>
          <w:sz w:val="24"/>
          <w:szCs w:val="24"/>
        </w:rPr>
        <w:t xml:space="preserve">Sources: </w:t>
      </w:r>
      <w:hyperlink r:id="rId10" w:history="1">
        <w:r w:rsidRPr="009B4BEF">
          <w:rPr>
            <w:rStyle w:val="Hyperlink"/>
            <w:rFonts w:ascii="Times New Roman" w:hAnsi="Times New Roman" w:cs="Times New Roman"/>
            <w:color w:val="auto"/>
            <w:sz w:val="24"/>
            <w:szCs w:val="24"/>
          </w:rPr>
          <w:t>Chicago Tribune</w:t>
        </w:r>
      </w:hyperlink>
      <w:r w:rsidRPr="009B4BEF">
        <w:rPr>
          <w:rFonts w:ascii="Times New Roman" w:hAnsi="Times New Roman" w:cs="Times New Roman"/>
          <w:sz w:val="24"/>
          <w:szCs w:val="24"/>
        </w:rPr>
        <w:t xml:space="preserve">, </w:t>
      </w:r>
      <w:hyperlink r:id="rId11" w:history="1">
        <w:r w:rsidRPr="009B4BEF">
          <w:rPr>
            <w:rStyle w:val="Hyperlink"/>
            <w:rFonts w:ascii="Times New Roman" w:hAnsi="Times New Roman" w:cs="Times New Roman"/>
            <w:color w:val="auto"/>
            <w:sz w:val="24"/>
            <w:szCs w:val="24"/>
          </w:rPr>
          <w:t>Amazon Watch</w:t>
        </w:r>
      </w:hyperlink>
      <w:r w:rsidRPr="009B4BEF">
        <w:rPr>
          <w:rFonts w:ascii="Times New Roman" w:hAnsi="Times New Roman" w:cs="Times New Roman"/>
          <w:sz w:val="24"/>
          <w:szCs w:val="24"/>
        </w:rPr>
        <w:t xml:space="preserve">, </w:t>
      </w:r>
      <w:hyperlink r:id="rId12" w:history="1">
        <w:r w:rsidRPr="009B4BEF">
          <w:rPr>
            <w:rStyle w:val="Hyperlink"/>
            <w:rFonts w:ascii="Times New Roman" w:hAnsi="Times New Roman" w:cs="Times New Roman"/>
            <w:color w:val="auto"/>
            <w:sz w:val="24"/>
            <w:szCs w:val="24"/>
          </w:rPr>
          <w:t>Indian Country Today</w:t>
        </w:r>
      </w:hyperlink>
    </w:p>
    <w:p w:rsidR="00A07115" w:rsidRPr="009B4BEF" w:rsidRDefault="00A07115" w:rsidP="00A07115">
      <w:pPr>
        <w:spacing w:line="360" w:lineRule="auto"/>
        <w:jc w:val="both"/>
        <w:rPr>
          <w:rFonts w:ascii="Times New Roman" w:hAnsi="Times New Roman" w:cs="Times New Roman"/>
          <w:b/>
          <w:sz w:val="24"/>
          <w:szCs w:val="24"/>
        </w:rPr>
      </w:pPr>
      <w:r w:rsidRPr="009B4BEF">
        <w:rPr>
          <w:rFonts w:ascii="Times New Roman" w:hAnsi="Times New Roman" w:cs="Times New Roman"/>
          <w:b/>
          <w:sz w:val="24"/>
          <w:szCs w:val="24"/>
        </w:rPr>
        <w:t>The Cost of Ignoring Cleanup</w:t>
      </w:r>
    </w:p>
    <w:p w:rsidR="00B55149" w:rsidRDefault="00223C9C" w:rsidP="00A07115">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lastRenderedPageBreak/>
        <w:t>On October 19, an Ecuadorian court froze $200 million worth of Chevron Co</w:t>
      </w:r>
      <w:r w:rsidR="00780B73" w:rsidRPr="009B4BEF">
        <w:rPr>
          <w:rFonts w:ascii="Times New Roman" w:hAnsi="Times New Roman" w:cs="Times New Roman"/>
          <w:sz w:val="24"/>
          <w:szCs w:val="24"/>
        </w:rPr>
        <w:t>rporation's (NYSE: CVX) assets</w:t>
      </w:r>
      <w:r w:rsidR="00B55149">
        <w:rPr>
          <w:rFonts w:ascii="Times New Roman" w:hAnsi="Times New Roman" w:cs="Times New Roman"/>
          <w:sz w:val="24"/>
          <w:szCs w:val="24"/>
        </w:rPr>
        <w:t xml:space="preserve"> in the country</w:t>
      </w:r>
      <w:r w:rsidR="00E970CD">
        <w:rPr>
          <w:rFonts w:ascii="Times New Roman" w:hAnsi="Times New Roman" w:cs="Times New Roman"/>
          <w:sz w:val="24"/>
          <w:szCs w:val="24"/>
        </w:rPr>
        <w:t xml:space="preserve">, following up on an earlier decision ordering the </w:t>
      </w:r>
      <w:r w:rsidR="00E970CD" w:rsidRPr="009B4BEF">
        <w:rPr>
          <w:rFonts w:ascii="Times New Roman" w:hAnsi="Times New Roman" w:cs="Times New Roman"/>
          <w:sz w:val="24"/>
          <w:szCs w:val="24"/>
        </w:rPr>
        <w:t>company to pay $19.04 billion in reparations for environmental damages to Indigenous communi</w:t>
      </w:r>
      <w:r w:rsidR="00E970CD">
        <w:rPr>
          <w:rFonts w:ascii="Times New Roman" w:hAnsi="Times New Roman" w:cs="Times New Roman"/>
          <w:sz w:val="24"/>
          <w:szCs w:val="24"/>
        </w:rPr>
        <w:t>ties in the Ecuadorian Amazon</w:t>
      </w:r>
      <w:r w:rsidR="00780B73" w:rsidRPr="009B4BEF">
        <w:rPr>
          <w:rFonts w:ascii="Times New Roman" w:hAnsi="Times New Roman" w:cs="Times New Roman"/>
          <w:sz w:val="24"/>
          <w:szCs w:val="24"/>
        </w:rPr>
        <w:t xml:space="preserve">.  </w:t>
      </w:r>
      <w:r w:rsidR="004603FA">
        <w:rPr>
          <w:rFonts w:ascii="Times New Roman" w:hAnsi="Times New Roman" w:cs="Times New Roman"/>
          <w:sz w:val="24"/>
          <w:szCs w:val="24"/>
        </w:rPr>
        <w:t xml:space="preserve">Prior to the ruling, </w:t>
      </w:r>
      <w:r w:rsidR="00B55149" w:rsidRPr="009B4BEF">
        <w:rPr>
          <w:rFonts w:ascii="Times New Roman" w:hAnsi="Times New Roman" w:cs="Times New Roman"/>
          <w:sz w:val="24"/>
          <w:szCs w:val="24"/>
        </w:rPr>
        <w:t>Chevron CEO</w:t>
      </w:r>
      <w:r w:rsidR="00B55149">
        <w:rPr>
          <w:rFonts w:ascii="Times New Roman" w:hAnsi="Times New Roman" w:cs="Times New Roman"/>
          <w:sz w:val="24"/>
          <w:szCs w:val="24"/>
        </w:rPr>
        <w:t xml:space="preserve"> John Watson</w:t>
      </w:r>
      <w:r w:rsidR="00A4309B">
        <w:rPr>
          <w:rFonts w:ascii="Times New Roman" w:hAnsi="Times New Roman" w:cs="Times New Roman"/>
          <w:sz w:val="24"/>
          <w:szCs w:val="24"/>
        </w:rPr>
        <w:t>, in four separate statements,</w:t>
      </w:r>
      <w:r w:rsidR="004603FA">
        <w:rPr>
          <w:rFonts w:ascii="Times New Roman" w:hAnsi="Times New Roman" w:cs="Times New Roman"/>
          <w:sz w:val="24"/>
          <w:szCs w:val="24"/>
        </w:rPr>
        <w:t xml:space="preserve"> </w:t>
      </w:r>
      <w:r w:rsidR="00B55149">
        <w:rPr>
          <w:rFonts w:ascii="Times New Roman" w:hAnsi="Times New Roman" w:cs="Times New Roman"/>
          <w:sz w:val="24"/>
          <w:szCs w:val="24"/>
        </w:rPr>
        <w:t>claimed the compan</w:t>
      </w:r>
      <w:r w:rsidR="004603FA">
        <w:rPr>
          <w:rFonts w:ascii="Times New Roman" w:hAnsi="Times New Roman" w:cs="Times New Roman"/>
          <w:sz w:val="24"/>
          <w:szCs w:val="24"/>
        </w:rPr>
        <w:t>y had</w:t>
      </w:r>
      <w:r w:rsidR="00B55149">
        <w:rPr>
          <w:rFonts w:ascii="Times New Roman" w:hAnsi="Times New Roman" w:cs="Times New Roman"/>
          <w:sz w:val="24"/>
          <w:szCs w:val="24"/>
        </w:rPr>
        <w:t xml:space="preserve"> no assets in the country.</w:t>
      </w:r>
    </w:p>
    <w:p w:rsidR="00B55149" w:rsidRPr="009B4BEF" w:rsidRDefault="00B55149" w:rsidP="007B62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Lawyers such as Graham Erion, </w:t>
      </w:r>
      <w:r w:rsidRPr="009B4BEF">
        <w:rPr>
          <w:rFonts w:ascii="Times New Roman" w:hAnsi="Times New Roman" w:cs="Times New Roman"/>
          <w:sz w:val="24"/>
          <w:szCs w:val="24"/>
        </w:rPr>
        <w:t xml:space="preserve">who authored a </w:t>
      </w:r>
      <w:hyperlink r:id="rId13" w:history="1">
        <w:r w:rsidRPr="00E970CD">
          <w:rPr>
            <w:rStyle w:val="Hyperlink"/>
            <w:rFonts w:ascii="Times New Roman" w:hAnsi="Times New Roman" w:cs="Times New Roman"/>
            <w:sz w:val="24"/>
            <w:szCs w:val="24"/>
          </w:rPr>
          <w:t>report</w:t>
        </w:r>
      </w:hyperlink>
      <w:r w:rsidRPr="009B4BEF">
        <w:rPr>
          <w:rFonts w:ascii="Times New Roman" w:hAnsi="Times New Roman" w:cs="Times New Roman"/>
          <w:sz w:val="24"/>
          <w:szCs w:val="24"/>
        </w:rPr>
        <w:t xml:space="preserve"> </w:t>
      </w:r>
      <w:r w:rsidR="00E970CD">
        <w:rPr>
          <w:rFonts w:ascii="Times New Roman" w:hAnsi="Times New Roman" w:cs="Times New Roman"/>
          <w:sz w:val="24"/>
          <w:szCs w:val="24"/>
        </w:rPr>
        <w:t>documenting allege</w:t>
      </w:r>
      <w:r w:rsidR="00A5148D">
        <w:rPr>
          <w:rFonts w:ascii="Times New Roman" w:hAnsi="Times New Roman" w:cs="Times New Roman"/>
          <w:sz w:val="24"/>
          <w:szCs w:val="24"/>
        </w:rPr>
        <w:t>d</w:t>
      </w:r>
      <w:r w:rsidR="00E970CD">
        <w:rPr>
          <w:rFonts w:ascii="Times New Roman" w:hAnsi="Times New Roman" w:cs="Times New Roman"/>
          <w:sz w:val="24"/>
          <w:szCs w:val="24"/>
        </w:rPr>
        <w:t xml:space="preserve"> </w:t>
      </w:r>
      <w:r w:rsidRPr="009B4BEF">
        <w:rPr>
          <w:rFonts w:ascii="Times New Roman" w:hAnsi="Times New Roman" w:cs="Times New Roman"/>
          <w:sz w:val="24"/>
          <w:szCs w:val="24"/>
        </w:rPr>
        <w:t xml:space="preserve">examples of Chevron executives </w:t>
      </w:r>
      <w:r w:rsidR="00E970CD">
        <w:rPr>
          <w:rFonts w:ascii="Times New Roman" w:hAnsi="Times New Roman" w:cs="Times New Roman"/>
          <w:sz w:val="24"/>
          <w:szCs w:val="24"/>
        </w:rPr>
        <w:t>misrepresenting</w:t>
      </w:r>
      <w:r w:rsidRPr="009B4BEF">
        <w:rPr>
          <w:rFonts w:ascii="Times New Roman" w:hAnsi="Times New Roman" w:cs="Times New Roman"/>
          <w:sz w:val="24"/>
          <w:szCs w:val="24"/>
        </w:rPr>
        <w:t xml:space="preserve"> the case to shareholders,</w:t>
      </w:r>
      <w:r>
        <w:rPr>
          <w:rFonts w:ascii="Times New Roman" w:hAnsi="Times New Roman" w:cs="Times New Roman"/>
          <w:sz w:val="24"/>
          <w:szCs w:val="24"/>
        </w:rPr>
        <w:t xml:space="preserve"> are reviewing</w:t>
      </w:r>
      <w:r w:rsidRPr="00B55149">
        <w:rPr>
          <w:rFonts w:ascii="Times New Roman" w:hAnsi="Times New Roman" w:cs="Times New Roman"/>
          <w:sz w:val="24"/>
          <w:szCs w:val="24"/>
        </w:rPr>
        <w:t xml:space="preserve"> </w:t>
      </w:r>
      <w:r w:rsidRPr="009B4BEF">
        <w:rPr>
          <w:rFonts w:ascii="Times New Roman" w:hAnsi="Times New Roman" w:cs="Times New Roman"/>
          <w:sz w:val="24"/>
          <w:szCs w:val="24"/>
        </w:rPr>
        <w:t>Watson's statements</w:t>
      </w:r>
      <w:r>
        <w:rPr>
          <w:rFonts w:ascii="Times New Roman" w:hAnsi="Times New Roman" w:cs="Times New Roman"/>
          <w:sz w:val="24"/>
          <w:szCs w:val="24"/>
        </w:rPr>
        <w:t xml:space="preserve"> to determine if they were an attempt to</w:t>
      </w:r>
      <w:r w:rsidRPr="00B55149">
        <w:rPr>
          <w:rFonts w:ascii="Times New Roman" w:hAnsi="Times New Roman" w:cs="Times New Roman"/>
          <w:sz w:val="24"/>
          <w:szCs w:val="24"/>
        </w:rPr>
        <w:t xml:space="preserve"> </w:t>
      </w:r>
      <w:r w:rsidRPr="009B4BEF">
        <w:rPr>
          <w:rFonts w:ascii="Times New Roman" w:hAnsi="Times New Roman" w:cs="Times New Roman"/>
          <w:sz w:val="24"/>
          <w:szCs w:val="24"/>
        </w:rPr>
        <w:t>downplay the risks associated with the case.</w:t>
      </w:r>
      <w:r w:rsidR="00277249">
        <w:rPr>
          <w:rFonts w:ascii="Times New Roman" w:hAnsi="Times New Roman" w:cs="Times New Roman"/>
          <w:sz w:val="24"/>
          <w:szCs w:val="24"/>
        </w:rPr>
        <w:t xml:space="preserve">  </w:t>
      </w:r>
      <w:r w:rsidR="007B6269">
        <w:rPr>
          <w:rFonts w:ascii="Times New Roman" w:hAnsi="Times New Roman" w:cs="Times New Roman"/>
          <w:sz w:val="24"/>
          <w:szCs w:val="24"/>
        </w:rPr>
        <w:t>A</w:t>
      </w:r>
      <w:r w:rsidR="004603FA">
        <w:rPr>
          <w:rFonts w:ascii="Times New Roman" w:hAnsi="Times New Roman" w:cs="Times New Roman"/>
          <w:sz w:val="24"/>
          <w:szCs w:val="24"/>
        </w:rPr>
        <w:t xml:space="preserve"> </w:t>
      </w:r>
      <w:hyperlink r:id="rId14" w:history="1">
        <w:r w:rsidR="004603FA" w:rsidRPr="004603FA">
          <w:rPr>
            <w:rStyle w:val="Hyperlink"/>
            <w:rFonts w:ascii="Times New Roman" w:hAnsi="Times New Roman" w:cs="Times New Roman"/>
            <w:sz w:val="24"/>
            <w:szCs w:val="24"/>
          </w:rPr>
          <w:t>letter</w:t>
        </w:r>
      </w:hyperlink>
      <w:r w:rsidR="004603FA">
        <w:rPr>
          <w:rFonts w:ascii="Times New Roman" w:hAnsi="Times New Roman" w:cs="Times New Roman"/>
          <w:sz w:val="24"/>
          <w:szCs w:val="24"/>
        </w:rPr>
        <w:t xml:space="preserve"> signed by shareholders holding </w:t>
      </w:r>
      <w:r w:rsidR="007B6269">
        <w:rPr>
          <w:rFonts w:ascii="Times New Roman" w:hAnsi="Times New Roman" w:cs="Times New Roman"/>
          <w:sz w:val="24"/>
          <w:szCs w:val="24"/>
        </w:rPr>
        <w:t>$580 billion worth of company assets states “</w:t>
      </w:r>
      <w:r w:rsidR="007B6269" w:rsidRPr="007B6269">
        <w:rPr>
          <w:rFonts w:ascii="Times New Roman" w:hAnsi="Times New Roman" w:cs="Times New Roman"/>
          <w:sz w:val="24"/>
          <w:szCs w:val="24"/>
        </w:rPr>
        <w:t>we believe that Chevron’s Board of Directors and man</w:t>
      </w:r>
      <w:r w:rsidR="007B6269">
        <w:rPr>
          <w:rFonts w:ascii="Times New Roman" w:hAnsi="Times New Roman" w:cs="Times New Roman"/>
          <w:sz w:val="24"/>
          <w:szCs w:val="24"/>
        </w:rPr>
        <w:t xml:space="preserve">agement displayed poor judgment </w:t>
      </w:r>
      <w:r w:rsidR="007B6269" w:rsidRPr="007B6269">
        <w:rPr>
          <w:rFonts w:ascii="Times New Roman" w:hAnsi="Times New Roman" w:cs="Times New Roman"/>
          <w:sz w:val="24"/>
          <w:szCs w:val="24"/>
        </w:rPr>
        <w:t>that has exposed the Corporation to a substantial financial liabi</w:t>
      </w:r>
      <w:r w:rsidR="007B6269">
        <w:rPr>
          <w:rFonts w:ascii="Times New Roman" w:hAnsi="Times New Roman" w:cs="Times New Roman"/>
          <w:sz w:val="24"/>
          <w:szCs w:val="24"/>
        </w:rPr>
        <w:t xml:space="preserve">lity and risk to its operations” and calls for corporate governance reforms.  Shareholders also sent </w:t>
      </w:r>
      <w:hyperlink r:id="rId15" w:history="1">
        <w:r w:rsidR="007B6269" w:rsidRPr="007B6269">
          <w:rPr>
            <w:rStyle w:val="Hyperlink"/>
            <w:rFonts w:ascii="Times New Roman" w:hAnsi="Times New Roman" w:cs="Times New Roman"/>
            <w:sz w:val="24"/>
            <w:szCs w:val="24"/>
          </w:rPr>
          <w:t>letters</w:t>
        </w:r>
      </w:hyperlink>
      <w:r w:rsidR="007B6269">
        <w:rPr>
          <w:rFonts w:ascii="Times New Roman" w:hAnsi="Times New Roman" w:cs="Times New Roman"/>
          <w:sz w:val="24"/>
          <w:szCs w:val="24"/>
        </w:rPr>
        <w:t xml:space="preserve"> to the US Securities and Exchange Commission and the Financial Industry Regulatory Authority</w:t>
      </w:r>
      <w:r w:rsidR="00A4309B">
        <w:rPr>
          <w:rFonts w:ascii="Times New Roman" w:hAnsi="Times New Roman" w:cs="Times New Roman"/>
          <w:sz w:val="24"/>
          <w:szCs w:val="24"/>
        </w:rPr>
        <w:t xml:space="preserve"> requesting investigations of Chevron’s alleged misrepresentations.</w:t>
      </w:r>
    </w:p>
    <w:p w:rsidR="00A07115" w:rsidRPr="009B4BEF" w:rsidRDefault="00277249" w:rsidP="00223C9C">
      <w:pPr>
        <w:spacing w:line="360" w:lineRule="auto"/>
        <w:jc w:val="both"/>
        <w:rPr>
          <w:rFonts w:ascii="Times New Roman" w:hAnsi="Times New Roman" w:cs="Times New Roman"/>
          <w:sz w:val="24"/>
          <w:szCs w:val="24"/>
        </w:rPr>
      </w:pPr>
      <w:r>
        <w:rPr>
          <w:rFonts w:ascii="Times New Roman" w:hAnsi="Times New Roman" w:cs="Times New Roman"/>
          <w:sz w:val="24"/>
          <w:szCs w:val="24"/>
        </w:rPr>
        <w:t>On October 9, the US Supreme Court</w:t>
      </w:r>
      <w:r w:rsidR="004603FA">
        <w:rPr>
          <w:rFonts w:ascii="Times New Roman" w:hAnsi="Times New Roman" w:cs="Times New Roman"/>
          <w:sz w:val="24"/>
          <w:szCs w:val="24"/>
        </w:rPr>
        <w:t xml:space="preserve"> rejected</w:t>
      </w:r>
      <w:r>
        <w:rPr>
          <w:rFonts w:ascii="Times New Roman" w:hAnsi="Times New Roman" w:cs="Times New Roman"/>
          <w:sz w:val="24"/>
          <w:szCs w:val="24"/>
        </w:rPr>
        <w:t xml:space="preserve"> Chevron’s attempt to block global enforcement of the verdict.  </w:t>
      </w:r>
      <w:r w:rsidR="00223C9C" w:rsidRPr="009B4BEF">
        <w:rPr>
          <w:rFonts w:ascii="Times New Roman" w:hAnsi="Times New Roman" w:cs="Times New Roman"/>
          <w:sz w:val="24"/>
          <w:szCs w:val="24"/>
        </w:rPr>
        <w:t xml:space="preserve">In order to recoup the full amount owed by the company, the </w:t>
      </w:r>
      <w:r w:rsidR="00E5458D" w:rsidRPr="009B4BEF">
        <w:rPr>
          <w:rFonts w:ascii="Times New Roman" w:hAnsi="Times New Roman" w:cs="Times New Roman"/>
          <w:sz w:val="24"/>
          <w:szCs w:val="24"/>
        </w:rPr>
        <w:t xml:space="preserve">communities have </w:t>
      </w:r>
      <w:r w:rsidR="00780B73" w:rsidRPr="009B4BEF">
        <w:rPr>
          <w:rFonts w:ascii="Times New Roman" w:hAnsi="Times New Roman" w:cs="Times New Roman"/>
          <w:sz w:val="24"/>
          <w:szCs w:val="24"/>
        </w:rPr>
        <w:t xml:space="preserve">also </w:t>
      </w:r>
      <w:r w:rsidR="00E5458D" w:rsidRPr="009B4BEF">
        <w:rPr>
          <w:rFonts w:ascii="Times New Roman" w:hAnsi="Times New Roman" w:cs="Times New Roman"/>
          <w:sz w:val="24"/>
          <w:szCs w:val="24"/>
        </w:rPr>
        <w:t xml:space="preserve">filed actions in </w:t>
      </w:r>
      <w:r>
        <w:rPr>
          <w:rFonts w:ascii="Times New Roman" w:hAnsi="Times New Roman" w:cs="Times New Roman"/>
          <w:sz w:val="24"/>
          <w:szCs w:val="24"/>
        </w:rPr>
        <w:t xml:space="preserve">Argentina, </w:t>
      </w:r>
      <w:r w:rsidR="00E5458D" w:rsidRPr="009B4BEF">
        <w:rPr>
          <w:rFonts w:ascii="Times New Roman" w:hAnsi="Times New Roman" w:cs="Times New Roman"/>
          <w:sz w:val="24"/>
          <w:szCs w:val="24"/>
        </w:rPr>
        <w:t>Brazil and China, seeking recognition of the court’s verdict and freezing of Chevr</w:t>
      </w:r>
      <w:r w:rsidR="00BF2507" w:rsidRPr="009B4BEF">
        <w:rPr>
          <w:rFonts w:ascii="Times New Roman" w:hAnsi="Times New Roman" w:cs="Times New Roman"/>
          <w:sz w:val="24"/>
          <w:szCs w:val="24"/>
        </w:rPr>
        <w:t>on’s assets in those countries</w:t>
      </w:r>
      <w:r w:rsidR="00780B73" w:rsidRPr="009B4BEF">
        <w:rPr>
          <w:rFonts w:ascii="Times New Roman" w:hAnsi="Times New Roman" w:cs="Times New Roman"/>
          <w:sz w:val="24"/>
          <w:szCs w:val="24"/>
        </w:rPr>
        <w:t>.</w:t>
      </w:r>
      <w:r w:rsidR="00A5148D">
        <w:rPr>
          <w:rFonts w:ascii="Times New Roman" w:hAnsi="Times New Roman" w:cs="Times New Roman"/>
          <w:sz w:val="24"/>
          <w:szCs w:val="24"/>
        </w:rPr>
        <w:t xml:space="preserve">  </w:t>
      </w:r>
    </w:p>
    <w:p w:rsidR="00A07115" w:rsidRPr="009B4BEF" w:rsidRDefault="00A07115" w:rsidP="00A07115">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Sources: </w:t>
      </w:r>
      <w:hyperlink r:id="rId16" w:history="1">
        <w:r w:rsidRPr="009B4BEF">
          <w:rPr>
            <w:rStyle w:val="Hyperlink"/>
            <w:rFonts w:ascii="Times New Roman" w:hAnsi="Times New Roman" w:cs="Times New Roman"/>
            <w:sz w:val="24"/>
            <w:szCs w:val="24"/>
          </w:rPr>
          <w:t>CSR Wire</w:t>
        </w:r>
      </w:hyperlink>
      <w:r w:rsidRPr="009B4BEF">
        <w:rPr>
          <w:rFonts w:ascii="Times New Roman" w:hAnsi="Times New Roman" w:cs="Times New Roman"/>
          <w:sz w:val="24"/>
          <w:szCs w:val="24"/>
        </w:rPr>
        <w:t xml:space="preserve">, </w:t>
      </w:r>
      <w:hyperlink r:id="rId17" w:history="1">
        <w:r w:rsidRPr="009B4BEF">
          <w:rPr>
            <w:rStyle w:val="Hyperlink"/>
            <w:rFonts w:ascii="Times New Roman" w:hAnsi="Times New Roman" w:cs="Times New Roman"/>
            <w:sz w:val="24"/>
            <w:szCs w:val="24"/>
          </w:rPr>
          <w:t>Amazon Defense Coalition</w:t>
        </w:r>
      </w:hyperlink>
    </w:p>
    <w:p w:rsidR="00223E03" w:rsidRPr="009B4BEF" w:rsidRDefault="00223E03" w:rsidP="00CB77B7">
      <w:pPr>
        <w:spacing w:line="360" w:lineRule="auto"/>
        <w:jc w:val="both"/>
        <w:rPr>
          <w:rFonts w:ascii="Times New Roman" w:hAnsi="Times New Roman" w:cs="Times New Roman"/>
          <w:b/>
          <w:sz w:val="24"/>
          <w:szCs w:val="24"/>
        </w:rPr>
      </w:pPr>
      <w:r w:rsidRPr="009B4BEF">
        <w:rPr>
          <w:rFonts w:ascii="Times New Roman" w:hAnsi="Times New Roman" w:cs="Times New Roman"/>
          <w:b/>
          <w:sz w:val="24"/>
          <w:szCs w:val="24"/>
        </w:rPr>
        <w:t>Proper Engagement Opens Doors</w:t>
      </w:r>
    </w:p>
    <w:p w:rsidR="00A07115" w:rsidRPr="009B4BEF" w:rsidRDefault="00223E03" w:rsidP="00CB77B7">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On October 12, Cameco Corporation (</w:t>
      </w:r>
      <w:r w:rsidR="00982808" w:rsidRPr="009B4BEF">
        <w:rPr>
          <w:rFonts w:ascii="Times New Roman" w:hAnsi="Times New Roman" w:cs="Times New Roman"/>
          <w:sz w:val="24"/>
          <w:szCs w:val="24"/>
        </w:rPr>
        <w:t>TSX:</w:t>
      </w:r>
      <w:r w:rsidR="00823A28" w:rsidRPr="009B4BEF">
        <w:rPr>
          <w:rFonts w:ascii="Times New Roman" w:hAnsi="Times New Roman" w:cs="Times New Roman"/>
          <w:sz w:val="24"/>
          <w:szCs w:val="24"/>
        </w:rPr>
        <w:t xml:space="preserve"> </w:t>
      </w:r>
      <w:r w:rsidR="00634BBB" w:rsidRPr="009B4BEF">
        <w:rPr>
          <w:rFonts w:ascii="Times New Roman" w:hAnsi="Times New Roman" w:cs="Times New Roman"/>
          <w:sz w:val="24"/>
          <w:szCs w:val="24"/>
        </w:rPr>
        <w:t>CCO) signed a landmark</w:t>
      </w:r>
      <w:r w:rsidRPr="009B4BEF">
        <w:rPr>
          <w:rFonts w:ascii="Times New Roman" w:hAnsi="Times New Roman" w:cs="Times New Roman"/>
          <w:sz w:val="24"/>
          <w:szCs w:val="24"/>
        </w:rPr>
        <w:t xml:space="preserve"> agreement with the </w:t>
      </w:r>
      <w:hyperlink r:id="rId18" w:history="1">
        <w:r w:rsidRPr="009B4BEF">
          <w:rPr>
            <w:rStyle w:val="Hyperlink"/>
            <w:rFonts w:ascii="Times New Roman" w:hAnsi="Times New Roman" w:cs="Times New Roman"/>
            <w:sz w:val="24"/>
            <w:szCs w:val="24"/>
          </w:rPr>
          <w:t>Western Desert Lands</w:t>
        </w:r>
        <w:r w:rsidR="00B618CB" w:rsidRPr="009B4BEF">
          <w:rPr>
            <w:rStyle w:val="Hyperlink"/>
            <w:rFonts w:ascii="Times New Roman" w:hAnsi="Times New Roman" w:cs="Times New Roman"/>
            <w:sz w:val="24"/>
            <w:szCs w:val="24"/>
          </w:rPr>
          <w:t xml:space="preserve"> Aboriginal Corporation</w:t>
        </w:r>
      </w:hyperlink>
      <w:r w:rsidR="00B618CB" w:rsidRPr="009B4BEF">
        <w:rPr>
          <w:rFonts w:ascii="Times New Roman" w:hAnsi="Times New Roman" w:cs="Times New Roman"/>
          <w:sz w:val="24"/>
          <w:szCs w:val="24"/>
        </w:rPr>
        <w:t xml:space="preserve"> (WDLAC)</w:t>
      </w:r>
      <w:r w:rsidR="00EA467F" w:rsidRPr="009B4BEF">
        <w:rPr>
          <w:rFonts w:ascii="Times New Roman" w:hAnsi="Times New Roman" w:cs="Times New Roman"/>
          <w:sz w:val="24"/>
          <w:szCs w:val="24"/>
        </w:rPr>
        <w:t xml:space="preserve"> giving the Martu In</w:t>
      </w:r>
      <w:bookmarkStart w:id="0" w:name="_GoBack"/>
      <w:bookmarkEnd w:id="0"/>
      <w:r w:rsidR="00EA467F" w:rsidRPr="009B4BEF">
        <w:rPr>
          <w:rFonts w:ascii="Times New Roman" w:hAnsi="Times New Roman" w:cs="Times New Roman"/>
          <w:sz w:val="24"/>
          <w:szCs w:val="24"/>
        </w:rPr>
        <w:t xml:space="preserve">digenous Peoples an unprecedented level of participation </w:t>
      </w:r>
      <w:r w:rsidR="003F1D67" w:rsidRPr="009B4BEF">
        <w:rPr>
          <w:rFonts w:ascii="Times New Roman" w:hAnsi="Times New Roman" w:cs="Times New Roman"/>
          <w:sz w:val="24"/>
          <w:szCs w:val="24"/>
        </w:rPr>
        <w:t>in</w:t>
      </w:r>
      <w:r w:rsidR="00EA467F" w:rsidRPr="009B4BEF">
        <w:rPr>
          <w:rFonts w:ascii="Times New Roman" w:hAnsi="Times New Roman" w:cs="Times New Roman"/>
          <w:sz w:val="24"/>
          <w:szCs w:val="24"/>
        </w:rPr>
        <w:t xml:space="preserve"> the exploration of </w:t>
      </w:r>
      <w:r w:rsidR="00A07115" w:rsidRPr="009B4BEF">
        <w:rPr>
          <w:rFonts w:ascii="Times New Roman" w:hAnsi="Times New Roman" w:cs="Times New Roman"/>
          <w:sz w:val="24"/>
          <w:szCs w:val="24"/>
        </w:rPr>
        <w:t xml:space="preserve">the Kintyre </w:t>
      </w:r>
      <w:r w:rsidR="00EA467F" w:rsidRPr="009B4BEF">
        <w:rPr>
          <w:rFonts w:ascii="Times New Roman" w:hAnsi="Times New Roman" w:cs="Times New Roman"/>
          <w:sz w:val="24"/>
          <w:szCs w:val="24"/>
        </w:rPr>
        <w:t>uranium deposits on their land</w:t>
      </w:r>
      <w:r w:rsidR="00A07115" w:rsidRPr="009B4BEF">
        <w:rPr>
          <w:rFonts w:ascii="Times New Roman" w:hAnsi="Times New Roman" w:cs="Times New Roman"/>
          <w:sz w:val="24"/>
          <w:szCs w:val="24"/>
        </w:rPr>
        <w:t xml:space="preserve"> in Western Australia.</w:t>
      </w:r>
    </w:p>
    <w:p w:rsidR="00EA467F" w:rsidRPr="009B4BEF" w:rsidRDefault="00EA467F" w:rsidP="00B76D0F">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Developed over </w:t>
      </w:r>
      <w:r w:rsidR="00634BBB" w:rsidRPr="009B4BEF">
        <w:rPr>
          <w:rFonts w:ascii="Times New Roman" w:hAnsi="Times New Roman" w:cs="Times New Roman"/>
          <w:sz w:val="24"/>
          <w:szCs w:val="24"/>
        </w:rPr>
        <w:t>a three-year period</w:t>
      </w:r>
      <w:r w:rsidRPr="009B4BEF">
        <w:rPr>
          <w:rFonts w:ascii="Times New Roman" w:hAnsi="Times New Roman" w:cs="Times New Roman"/>
          <w:sz w:val="24"/>
          <w:szCs w:val="24"/>
        </w:rPr>
        <w:t xml:space="preserve">, the agreement </w:t>
      </w:r>
      <w:r w:rsidR="00616311" w:rsidRPr="009B4BEF">
        <w:rPr>
          <w:rFonts w:ascii="Times New Roman" w:hAnsi="Times New Roman" w:cs="Times New Roman"/>
          <w:sz w:val="24"/>
          <w:szCs w:val="24"/>
        </w:rPr>
        <w:t xml:space="preserve">ensures </w:t>
      </w:r>
      <w:r w:rsidR="00616311" w:rsidRPr="009B4BEF">
        <w:rPr>
          <w:rFonts w:ascii="Times New Roman" w:hAnsi="Times New Roman" w:cs="Times New Roman"/>
          <w:sz w:val="24"/>
          <w:szCs w:val="24"/>
          <w:shd w:val="clear" w:color="auto" w:fill="FFFFFF"/>
        </w:rPr>
        <w:t>employment</w:t>
      </w:r>
      <w:r w:rsidR="00A07115" w:rsidRPr="009B4BEF">
        <w:rPr>
          <w:rFonts w:ascii="Times New Roman" w:hAnsi="Times New Roman" w:cs="Times New Roman"/>
          <w:sz w:val="24"/>
          <w:szCs w:val="24"/>
          <w:shd w:val="clear" w:color="auto" w:fill="FFFFFF"/>
        </w:rPr>
        <w:t xml:space="preserve"> and infrastructure benefits</w:t>
      </w:r>
      <w:r w:rsidR="00616311" w:rsidRPr="009B4BEF">
        <w:rPr>
          <w:rFonts w:ascii="Times New Roman" w:hAnsi="Times New Roman" w:cs="Times New Roman"/>
          <w:sz w:val="24"/>
          <w:szCs w:val="24"/>
          <w:shd w:val="clear" w:color="auto" w:fill="FFFFFF"/>
        </w:rPr>
        <w:t xml:space="preserve"> for the Martu, and identifies areas of </w:t>
      </w:r>
      <w:r w:rsidR="00616311" w:rsidRPr="009B4BEF">
        <w:rPr>
          <w:rFonts w:ascii="Times New Roman" w:hAnsi="Times New Roman" w:cs="Times New Roman"/>
          <w:sz w:val="24"/>
          <w:szCs w:val="24"/>
        </w:rPr>
        <w:t>cultural and spiritual significance where mining is not allowed.</w:t>
      </w:r>
      <w:r w:rsidR="003F1D67" w:rsidRPr="009B4BEF">
        <w:rPr>
          <w:rFonts w:ascii="Times New Roman" w:hAnsi="Times New Roman" w:cs="Times New Roman"/>
          <w:sz w:val="24"/>
          <w:szCs w:val="24"/>
        </w:rPr>
        <w:t xml:space="preserve">  </w:t>
      </w:r>
      <w:r w:rsidR="00035A36" w:rsidRPr="009B4BEF">
        <w:rPr>
          <w:rFonts w:ascii="Times New Roman" w:hAnsi="Times New Roman" w:cs="Times New Roman"/>
          <w:sz w:val="24"/>
          <w:szCs w:val="24"/>
        </w:rPr>
        <w:t>The negotiation process</w:t>
      </w:r>
      <w:r w:rsidR="00A07115" w:rsidRPr="009B4BEF">
        <w:rPr>
          <w:rFonts w:ascii="Times New Roman" w:hAnsi="Times New Roman" w:cs="Times New Roman"/>
          <w:sz w:val="24"/>
          <w:szCs w:val="24"/>
        </w:rPr>
        <w:t xml:space="preserve"> included a 2011 visit to Canada by </w:t>
      </w:r>
      <w:r w:rsidR="003F1D67" w:rsidRPr="009B4BEF">
        <w:rPr>
          <w:rFonts w:ascii="Times New Roman" w:hAnsi="Times New Roman" w:cs="Times New Roman"/>
          <w:sz w:val="24"/>
          <w:szCs w:val="24"/>
        </w:rPr>
        <w:t xml:space="preserve">WDLAC staff and </w:t>
      </w:r>
      <w:r w:rsidR="003F1D67" w:rsidRPr="009B4BEF">
        <w:rPr>
          <w:rFonts w:ascii="Times New Roman" w:hAnsi="Times New Roman" w:cs="Times New Roman"/>
          <w:sz w:val="24"/>
          <w:szCs w:val="24"/>
        </w:rPr>
        <w:lastRenderedPageBreak/>
        <w:t xml:space="preserve">Martu </w:t>
      </w:r>
      <w:r w:rsidR="00A07115" w:rsidRPr="009B4BEF">
        <w:rPr>
          <w:rFonts w:ascii="Times New Roman" w:hAnsi="Times New Roman" w:cs="Times New Roman"/>
          <w:sz w:val="24"/>
          <w:szCs w:val="24"/>
        </w:rPr>
        <w:t>representatives</w:t>
      </w:r>
      <w:r w:rsidR="003F1D67" w:rsidRPr="009B4BEF">
        <w:rPr>
          <w:rFonts w:ascii="Times New Roman" w:hAnsi="Times New Roman" w:cs="Times New Roman"/>
          <w:sz w:val="24"/>
          <w:szCs w:val="24"/>
        </w:rPr>
        <w:t xml:space="preserve"> to meet with Cameco executives and Canadian</w:t>
      </w:r>
      <w:r w:rsidR="00035A36" w:rsidRPr="009B4BEF">
        <w:rPr>
          <w:rFonts w:ascii="Times New Roman" w:hAnsi="Times New Roman" w:cs="Times New Roman"/>
          <w:sz w:val="24"/>
          <w:szCs w:val="24"/>
        </w:rPr>
        <w:t xml:space="preserve"> Aboriginals; </w:t>
      </w:r>
      <w:r w:rsidR="00A07115" w:rsidRPr="009B4BEF">
        <w:rPr>
          <w:rFonts w:ascii="Times New Roman" w:hAnsi="Times New Roman" w:cs="Times New Roman"/>
          <w:sz w:val="24"/>
          <w:szCs w:val="24"/>
        </w:rPr>
        <w:t>t</w:t>
      </w:r>
      <w:r w:rsidR="003F1D67" w:rsidRPr="009B4BEF">
        <w:rPr>
          <w:rFonts w:ascii="Times New Roman" w:hAnsi="Times New Roman" w:cs="Times New Roman"/>
          <w:sz w:val="24"/>
          <w:szCs w:val="24"/>
        </w:rPr>
        <w:t xml:space="preserve">he trip was </w:t>
      </w:r>
      <w:hyperlink r:id="rId19" w:history="1">
        <w:r w:rsidR="003F1D67" w:rsidRPr="009B4BEF">
          <w:rPr>
            <w:rStyle w:val="Hyperlink"/>
            <w:rFonts w:ascii="Times New Roman" w:hAnsi="Times New Roman" w:cs="Times New Roman"/>
            <w:sz w:val="24"/>
            <w:szCs w:val="24"/>
          </w:rPr>
          <w:t>documented on film</w:t>
        </w:r>
      </w:hyperlink>
      <w:r w:rsidR="003F1D67" w:rsidRPr="009B4BEF">
        <w:rPr>
          <w:rFonts w:ascii="Times New Roman" w:hAnsi="Times New Roman" w:cs="Times New Roman"/>
          <w:sz w:val="24"/>
          <w:szCs w:val="24"/>
        </w:rPr>
        <w:t>.</w:t>
      </w:r>
      <w:r w:rsidR="00A07115" w:rsidRPr="009B4BEF">
        <w:rPr>
          <w:rFonts w:ascii="Times New Roman" w:hAnsi="Times New Roman" w:cs="Times New Roman"/>
          <w:sz w:val="24"/>
          <w:szCs w:val="24"/>
        </w:rPr>
        <w:t xml:space="preserve">  WDLAC created an education package about the pr</w:t>
      </w:r>
      <w:r w:rsidR="00B76D0F" w:rsidRPr="009B4BEF">
        <w:rPr>
          <w:rFonts w:ascii="Times New Roman" w:hAnsi="Times New Roman" w:cs="Times New Roman"/>
          <w:sz w:val="24"/>
          <w:szCs w:val="24"/>
        </w:rPr>
        <w:t>oposals</w:t>
      </w:r>
      <w:r w:rsidR="00035A36" w:rsidRPr="009B4BEF">
        <w:rPr>
          <w:rFonts w:ascii="Times New Roman" w:hAnsi="Times New Roman" w:cs="Times New Roman"/>
          <w:sz w:val="24"/>
          <w:szCs w:val="24"/>
        </w:rPr>
        <w:t xml:space="preserve"> and </w:t>
      </w:r>
      <w:r w:rsidR="00B76D0F" w:rsidRPr="009B4BEF">
        <w:rPr>
          <w:rFonts w:ascii="Times New Roman" w:hAnsi="Times New Roman" w:cs="Times New Roman"/>
          <w:sz w:val="24"/>
          <w:szCs w:val="24"/>
        </w:rPr>
        <w:t xml:space="preserve">distributed </w:t>
      </w:r>
      <w:r w:rsidR="00035A36" w:rsidRPr="009B4BEF">
        <w:rPr>
          <w:rFonts w:ascii="Times New Roman" w:hAnsi="Times New Roman" w:cs="Times New Roman"/>
          <w:sz w:val="24"/>
          <w:szCs w:val="24"/>
        </w:rPr>
        <w:t xml:space="preserve">it </w:t>
      </w:r>
      <w:r w:rsidR="00B76D0F" w:rsidRPr="009B4BEF">
        <w:rPr>
          <w:rFonts w:ascii="Times New Roman" w:hAnsi="Times New Roman" w:cs="Times New Roman"/>
          <w:sz w:val="24"/>
          <w:szCs w:val="24"/>
        </w:rPr>
        <w:t>to Martu communities to help them make informed decisions.</w:t>
      </w:r>
    </w:p>
    <w:p w:rsidR="00D11298" w:rsidRPr="009B4BEF" w:rsidRDefault="00616311" w:rsidP="00A07115">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The WDLAC</w:t>
      </w:r>
      <w:r w:rsidR="006F3867" w:rsidRPr="009B4BEF">
        <w:rPr>
          <w:rFonts w:ascii="Times New Roman" w:hAnsi="Times New Roman" w:cs="Times New Roman"/>
          <w:sz w:val="24"/>
          <w:szCs w:val="24"/>
        </w:rPr>
        <w:t xml:space="preserve"> holds 136,000 square kilometers of native title rights for the Martu.  </w:t>
      </w:r>
      <w:r w:rsidR="00A07115" w:rsidRPr="009B4BEF">
        <w:rPr>
          <w:rFonts w:ascii="Times New Roman" w:hAnsi="Times New Roman" w:cs="Times New Roman"/>
          <w:sz w:val="24"/>
          <w:szCs w:val="24"/>
        </w:rPr>
        <w:t>According to WDLAC Chairman Teddy Biljabu, “</w:t>
      </w:r>
      <w:r w:rsidR="00B76D0F" w:rsidRPr="009B4BEF">
        <w:rPr>
          <w:rFonts w:ascii="Times New Roman" w:hAnsi="Times New Roman" w:cs="Times New Roman"/>
          <w:sz w:val="24"/>
          <w:szCs w:val="24"/>
        </w:rPr>
        <w:t>t</w:t>
      </w:r>
      <w:r w:rsidR="00A07115" w:rsidRPr="009B4BEF">
        <w:rPr>
          <w:rFonts w:ascii="Times New Roman" w:hAnsi="Times New Roman" w:cs="Times New Roman"/>
          <w:color w:val="000000"/>
          <w:sz w:val="24"/>
          <w:szCs w:val="24"/>
          <w:shd w:val="clear" w:color="auto" w:fill="FFFFFF"/>
        </w:rPr>
        <w:t>he Kintyre Agreement opens the door to a range of business, employment and cultural initiatives which ensure Martu have a strong stake in the future of the development.”</w:t>
      </w:r>
      <w:r w:rsidR="00B76D0F" w:rsidRPr="009B4BEF">
        <w:rPr>
          <w:rFonts w:ascii="Times New Roman" w:hAnsi="Times New Roman" w:cs="Times New Roman"/>
          <w:color w:val="000000"/>
          <w:sz w:val="24"/>
          <w:szCs w:val="24"/>
          <w:shd w:val="clear" w:color="auto" w:fill="FFFFFF"/>
        </w:rPr>
        <w:t xml:space="preserve">  Cameco’s managing director Brian Reilly stated “securing the social license to operate in the region is an important step since it allows us to continue to work in the area as we assess the feasibility of the Kintyre project.”</w:t>
      </w:r>
    </w:p>
    <w:p w:rsidR="00223E03" w:rsidRPr="009B4BEF" w:rsidRDefault="00C210D5" w:rsidP="00CB77B7">
      <w:pPr>
        <w:spacing w:line="360" w:lineRule="auto"/>
        <w:jc w:val="both"/>
        <w:rPr>
          <w:rFonts w:ascii="Times New Roman" w:hAnsi="Times New Roman" w:cs="Times New Roman"/>
          <w:sz w:val="24"/>
          <w:szCs w:val="24"/>
          <w:shd w:val="clear" w:color="auto" w:fill="FFFFFF"/>
        </w:rPr>
      </w:pPr>
      <w:r w:rsidRPr="009B4BEF">
        <w:rPr>
          <w:rFonts w:ascii="Times New Roman" w:hAnsi="Times New Roman" w:cs="Times New Roman"/>
          <w:sz w:val="24"/>
          <w:szCs w:val="24"/>
          <w:shd w:val="clear" w:color="auto" w:fill="FFFFFF"/>
        </w:rPr>
        <w:t>S</w:t>
      </w:r>
      <w:r w:rsidR="00223E03" w:rsidRPr="009B4BEF">
        <w:rPr>
          <w:rFonts w:ascii="Times New Roman" w:hAnsi="Times New Roman" w:cs="Times New Roman"/>
          <w:sz w:val="24"/>
          <w:szCs w:val="24"/>
          <w:shd w:val="clear" w:color="auto" w:fill="FFFFFF"/>
        </w:rPr>
        <w:t xml:space="preserve">ources: </w:t>
      </w:r>
      <w:hyperlink r:id="rId20" w:history="1">
        <w:r w:rsidR="00223E03" w:rsidRPr="009B4BEF">
          <w:rPr>
            <w:rStyle w:val="Hyperlink"/>
            <w:rFonts w:ascii="Times New Roman" w:hAnsi="Times New Roman" w:cs="Times New Roman"/>
            <w:color w:val="auto"/>
            <w:sz w:val="24"/>
            <w:szCs w:val="24"/>
          </w:rPr>
          <w:t>Mining Weekly</w:t>
        </w:r>
      </w:hyperlink>
      <w:r w:rsidR="00223E03" w:rsidRPr="009B4BEF">
        <w:rPr>
          <w:rFonts w:ascii="Times New Roman" w:hAnsi="Times New Roman" w:cs="Times New Roman"/>
          <w:sz w:val="24"/>
          <w:szCs w:val="24"/>
        </w:rPr>
        <w:t xml:space="preserve">, </w:t>
      </w:r>
      <w:hyperlink r:id="rId21" w:history="1">
        <w:r w:rsidR="00223E03" w:rsidRPr="009B4BEF">
          <w:rPr>
            <w:rStyle w:val="Hyperlink"/>
            <w:rFonts w:ascii="Times New Roman" w:hAnsi="Times New Roman" w:cs="Times New Roman"/>
            <w:color w:val="auto"/>
            <w:sz w:val="24"/>
            <w:szCs w:val="24"/>
          </w:rPr>
          <w:t>Nuclear Engineering International</w:t>
        </w:r>
      </w:hyperlink>
      <w:r w:rsidR="00D534FA" w:rsidRPr="009B4BEF">
        <w:rPr>
          <w:rFonts w:ascii="Times New Roman" w:hAnsi="Times New Roman" w:cs="Times New Roman"/>
          <w:sz w:val="24"/>
          <w:szCs w:val="24"/>
        </w:rPr>
        <w:t xml:space="preserve">, </w:t>
      </w:r>
      <w:hyperlink r:id="rId22" w:history="1">
        <w:r w:rsidR="00D534FA" w:rsidRPr="009B4BEF">
          <w:rPr>
            <w:rStyle w:val="Hyperlink"/>
            <w:rFonts w:ascii="Times New Roman" w:hAnsi="Times New Roman" w:cs="Times New Roman"/>
            <w:sz w:val="24"/>
            <w:szCs w:val="24"/>
          </w:rPr>
          <w:t>WDLAC</w:t>
        </w:r>
      </w:hyperlink>
    </w:p>
    <w:p w:rsidR="003A499E" w:rsidRPr="009B4BEF" w:rsidRDefault="003A499E" w:rsidP="003A499E">
      <w:pPr>
        <w:spacing w:line="360" w:lineRule="auto"/>
        <w:jc w:val="both"/>
        <w:rPr>
          <w:rFonts w:ascii="Times New Roman" w:hAnsi="Times New Roman" w:cs="Times New Roman"/>
          <w:b/>
          <w:sz w:val="24"/>
          <w:szCs w:val="24"/>
        </w:rPr>
      </w:pPr>
      <w:r w:rsidRPr="009B4BEF">
        <w:rPr>
          <w:rFonts w:ascii="Times New Roman" w:hAnsi="Times New Roman" w:cs="Times New Roman"/>
          <w:b/>
          <w:sz w:val="24"/>
          <w:szCs w:val="24"/>
        </w:rPr>
        <w:t>Community Conflicted over Oil Drilling</w:t>
      </w:r>
    </w:p>
    <w:p w:rsidR="00F4758F" w:rsidRPr="009B4BEF" w:rsidRDefault="007B0554" w:rsidP="003A499E">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Few, if any, communities will reach unanimous consensus </w:t>
      </w:r>
      <w:r w:rsidR="00F4758F" w:rsidRPr="009B4BEF">
        <w:rPr>
          <w:rFonts w:ascii="Times New Roman" w:hAnsi="Times New Roman" w:cs="Times New Roman"/>
          <w:sz w:val="24"/>
          <w:szCs w:val="24"/>
        </w:rPr>
        <w:t xml:space="preserve">when making decisions about development.  Companies must ensure their community </w:t>
      </w:r>
      <w:r w:rsidR="00FB6A6D" w:rsidRPr="009B4BEF">
        <w:rPr>
          <w:rFonts w:ascii="Times New Roman" w:hAnsi="Times New Roman" w:cs="Times New Roman"/>
          <w:sz w:val="24"/>
          <w:szCs w:val="24"/>
        </w:rPr>
        <w:t>engagement process is inclusive, that all voices are heard, and that outside NGOs are not controlling the community decision-making process.</w:t>
      </w:r>
    </w:p>
    <w:p w:rsidR="003A499E" w:rsidRPr="009B4BEF" w:rsidRDefault="00F4758F" w:rsidP="00FB6A6D">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The people of the small Inupiat village of Wainwright, Alaska are weighing the potential pros and cons of Royal Dutch Shell’s (LSE: RSDA) drilling</w:t>
      </w:r>
      <w:r w:rsidR="00FB6A6D" w:rsidRPr="009B4BEF">
        <w:rPr>
          <w:rFonts w:ascii="Times New Roman" w:hAnsi="Times New Roman" w:cs="Times New Roman"/>
          <w:sz w:val="24"/>
          <w:szCs w:val="24"/>
        </w:rPr>
        <w:t xml:space="preserve"> in the Arctic</w:t>
      </w:r>
      <w:r w:rsidRPr="009B4BEF">
        <w:rPr>
          <w:rFonts w:ascii="Times New Roman" w:hAnsi="Times New Roman" w:cs="Times New Roman"/>
          <w:sz w:val="24"/>
          <w:szCs w:val="24"/>
        </w:rPr>
        <w:t>.  The community is in close proximity to where Shell intends to drill, and has become a staging area for the company's operations.  Some believe Shell’s presence will bring much needed jobs and economic development to the village.  Others fear they are being exploited for their resources</w:t>
      </w:r>
      <w:r w:rsidR="00FB6A6D" w:rsidRPr="009B4BEF">
        <w:rPr>
          <w:rFonts w:ascii="Times New Roman" w:hAnsi="Times New Roman" w:cs="Times New Roman"/>
          <w:sz w:val="24"/>
          <w:szCs w:val="24"/>
        </w:rPr>
        <w:t>, and that Shell's presence will damage the environment upon which have sustained themselves for thousands of years.  According to a project management consultant, “t</w:t>
      </w:r>
      <w:r w:rsidR="00FB6A6D" w:rsidRPr="009B4BEF">
        <w:rPr>
          <w:rFonts w:ascii="Times New Roman" w:hAnsi="Times New Roman" w:cs="Times New Roman"/>
          <w:sz w:val="24"/>
          <w:szCs w:val="24"/>
          <w:shd w:val="clear" w:color="auto" w:fill="FAFAFA"/>
        </w:rPr>
        <w:t>here will be an influx of people.  There will be an influx of traffic.  It’ll be a cash infusion.  It’ll be a job infusion.  But it’ll also probably change to a certain extent the traditional way of life that people have enjoyed here.”</w:t>
      </w:r>
      <w:r w:rsidR="003A499E" w:rsidRPr="009B4BEF">
        <w:rPr>
          <w:rFonts w:ascii="Times New Roman" w:hAnsi="Times New Roman" w:cs="Times New Roman"/>
          <w:sz w:val="24"/>
          <w:szCs w:val="24"/>
        </w:rPr>
        <w:t xml:space="preserve"> </w:t>
      </w:r>
    </w:p>
    <w:p w:rsidR="003A499E" w:rsidRPr="009B4BEF" w:rsidRDefault="00907373" w:rsidP="003A499E">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The people of Wainwright</w:t>
      </w:r>
      <w:r w:rsidR="003A499E" w:rsidRPr="009B4BEF">
        <w:rPr>
          <w:rFonts w:ascii="Times New Roman" w:hAnsi="Times New Roman" w:cs="Times New Roman"/>
          <w:sz w:val="24"/>
          <w:szCs w:val="24"/>
        </w:rPr>
        <w:t xml:space="preserve"> </w:t>
      </w:r>
      <w:r w:rsidR="002F3668" w:rsidRPr="009B4BEF">
        <w:rPr>
          <w:rFonts w:ascii="Times New Roman" w:hAnsi="Times New Roman" w:cs="Times New Roman"/>
          <w:sz w:val="24"/>
          <w:szCs w:val="24"/>
        </w:rPr>
        <w:t>have the right to</w:t>
      </w:r>
      <w:r w:rsidR="003A499E" w:rsidRPr="009B4BEF">
        <w:rPr>
          <w:rFonts w:ascii="Times New Roman" w:hAnsi="Times New Roman" w:cs="Times New Roman"/>
          <w:sz w:val="24"/>
          <w:szCs w:val="24"/>
        </w:rPr>
        <w:t xml:space="preserve"> full disclosure on all aspects of the projects, adequate </w:t>
      </w:r>
      <w:r w:rsidRPr="009B4BEF">
        <w:rPr>
          <w:rFonts w:ascii="Times New Roman" w:hAnsi="Times New Roman" w:cs="Times New Roman"/>
          <w:sz w:val="24"/>
          <w:szCs w:val="24"/>
        </w:rPr>
        <w:t>t</w:t>
      </w:r>
      <w:r w:rsidR="003A499E" w:rsidRPr="009B4BEF">
        <w:rPr>
          <w:rFonts w:ascii="Times New Roman" w:hAnsi="Times New Roman" w:cs="Times New Roman"/>
          <w:sz w:val="24"/>
          <w:szCs w:val="24"/>
        </w:rPr>
        <w:t>ime to make decision</w:t>
      </w:r>
      <w:r w:rsidR="00292F4D" w:rsidRPr="009B4BEF">
        <w:rPr>
          <w:rFonts w:ascii="Times New Roman" w:hAnsi="Times New Roman" w:cs="Times New Roman"/>
          <w:sz w:val="24"/>
          <w:szCs w:val="24"/>
        </w:rPr>
        <w:t>s</w:t>
      </w:r>
      <w:r w:rsidRPr="009B4BEF">
        <w:rPr>
          <w:rFonts w:ascii="Times New Roman" w:hAnsi="Times New Roman" w:cs="Times New Roman"/>
          <w:sz w:val="24"/>
          <w:szCs w:val="24"/>
        </w:rPr>
        <w:t xml:space="preserve">, and the final say </w:t>
      </w:r>
      <w:r w:rsidR="002F3668" w:rsidRPr="009B4BEF">
        <w:rPr>
          <w:rFonts w:ascii="Times New Roman" w:hAnsi="Times New Roman" w:cs="Times New Roman"/>
          <w:sz w:val="24"/>
          <w:szCs w:val="24"/>
        </w:rPr>
        <w:t>on all decisions that might affect them</w:t>
      </w:r>
      <w:r w:rsidR="003A499E" w:rsidRPr="009B4BEF">
        <w:rPr>
          <w:rFonts w:ascii="Times New Roman" w:hAnsi="Times New Roman" w:cs="Times New Roman"/>
          <w:sz w:val="24"/>
          <w:szCs w:val="24"/>
        </w:rPr>
        <w:t xml:space="preserve">.  Shell </w:t>
      </w:r>
      <w:r w:rsidR="00FB6A6D" w:rsidRPr="009B4BEF">
        <w:rPr>
          <w:rFonts w:ascii="Times New Roman" w:hAnsi="Times New Roman" w:cs="Times New Roman"/>
          <w:sz w:val="24"/>
          <w:szCs w:val="24"/>
        </w:rPr>
        <w:t>has the opportunity to set an example of best practice that includes taking</w:t>
      </w:r>
      <w:r w:rsidRPr="009B4BEF">
        <w:rPr>
          <w:rFonts w:ascii="Times New Roman" w:hAnsi="Times New Roman" w:cs="Times New Roman"/>
          <w:sz w:val="24"/>
          <w:szCs w:val="24"/>
        </w:rPr>
        <w:t xml:space="preserve"> additional measures to ensure </w:t>
      </w:r>
      <w:r w:rsidR="00FB6A6D" w:rsidRPr="009B4BEF">
        <w:rPr>
          <w:rFonts w:ascii="Times New Roman" w:hAnsi="Times New Roman" w:cs="Times New Roman"/>
          <w:sz w:val="24"/>
          <w:szCs w:val="24"/>
        </w:rPr>
        <w:t xml:space="preserve">inclusiveness in </w:t>
      </w:r>
      <w:r w:rsidR="003A499E" w:rsidRPr="009B4BEF">
        <w:rPr>
          <w:rFonts w:ascii="Times New Roman" w:hAnsi="Times New Roman" w:cs="Times New Roman"/>
          <w:sz w:val="24"/>
          <w:szCs w:val="24"/>
        </w:rPr>
        <w:t>the decision-making process</w:t>
      </w:r>
      <w:r w:rsidR="00B76D0F" w:rsidRPr="009B4BEF">
        <w:rPr>
          <w:rFonts w:ascii="Times New Roman" w:hAnsi="Times New Roman" w:cs="Times New Roman"/>
          <w:sz w:val="24"/>
          <w:szCs w:val="24"/>
        </w:rPr>
        <w:t>.</w:t>
      </w:r>
    </w:p>
    <w:p w:rsidR="003A499E" w:rsidRPr="009B4BEF" w:rsidRDefault="003A499E" w:rsidP="003A499E">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Sources: </w:t>
      </w:r>
      <w:hyperlink r:id="rId23" w:history="1">
        <w:r w:rsidRPr="009B4BEF">
          <w:rPr>
            <w:rStyle w:val="Hyperlink"/>
            <w:rFonts w:ascii="Times New Roman" w:hAnsi="Times New Roman" w:cs="Times New Roman"/>
            <w:color w:val="auto"/>
            <w:sz w:val="24"/>
            <w:szCs w:val="24"/>
          </w:rPr>
          <w:t>Global Post</w:t>
        </w:r>
      </w:hyperlink>
      <w:r w:rsidRPr="009B4BEF">
        <w:rPr>
          <w:rFonts w:ascii="Times New Roman" w:hAnsi="Times New Roman" w:cs="Times New Roman"/>
          <w:sz w:val="24"/>
          <w:szCs w:val="24"/>
        </w:rPr>
        <w:t xml:space="preserve">, </w:t>
      </w:r>
      <w:hyperlink r:id="rId24" w:history="1">
        <w:r w:rsidRPr="009B4BEF">
          <w:rPr>
            <w:rStyle w:val="Hyperlink"/>
            <w:rFonts w:ascii="Times New Roman" w:hAnsi="Times New Roman" w:cs="Times New Roman"/>
            <w:color w:val="auto"/>
            <w:sz w:val="24"/>
            <w:szCs w:val="24"/>
          </w:rPr>
          <w:t>Indian Country Today</w:t>
        </w:r>
      </w:hyperlink>
    </w:p>
    <w:p w:rsidR="00B46314" w:rsidRPr="009B4BEF" w:rsidRDefault="00B46314" w:rsidP="00B46314">
      <w:pPr>
        <w:spacing w:line="360" w:lineRule="auto"/>
        <w:jc w:val="both"/>
        <w:rPr>
          <w:rFonts w:ascii="Times New Roman" w:hAnsi="Times New Roman" w:cs="Times New Roman"/>
          <w:b/>
          <w:sz w:val="24"/>
          <w:szCs w:val="24"/>
        </w:rPr>
      </w:pPr>
      <w:r w:rsidRPr="009B4BEF">
        <w:rPr>
          <w:rFonts w:ascii="Times New Roman" w:hAnsi="Times New Roman" w:cs="Times New Roman"/>
          <w:b/>
          <w:sz w:val="24"/>
          <w:szCs w:val="24"/>
        </w:rPr>
        <w:t>Shell Tried for International Actions in Domestic Courts</w:t>
      </w:r>
    </w:p>
    <w:p w:rsidR="002F3668" w:rsidRPr="009B4BEF" w:rsidRDefault="00ED5FB7" w:rsidP="00035A36">
      <w:pPr>
        <w:spacing w:line="360" w:lineRule="auto"/>
        <w:jc w:val="both"/>
        <w:rPr>
          <w:rFonts w:ascii="Times New Roman" w:hAnsi="Times New Roman" w:cs="Times New Roman"/>
          <w:sz w:val="24"/>
          <w:szCs w:val="24"/>
        </w:rPr>
      </w:pPr>
      <w:hyperlink r:id="rId25" w:history="1">
        <w:r w:rsidR="00907373" w:rsidRPr="009B4BEF">
          <w:rPr>
            <w:rStyle w:val="Hyperlink"/>
            <w:rFonts w:ascii="Times New Roman" w:hAnsi="Times New Roman" w:cs="Times New Roman"/>
            <w:i/>
            <w:sz w:val="24"/>
            <w:szCs w:val="24"/>
          </w:rPr>
          <w:t>Kiobel vs. Royal Dutch Shell</w:t>
        </w:r>
      </w:hyperlink>
      <w:r w:rsidR="00907373" w:rsidRPr="009B4BEF">
        <w:rPr>
          <w:rFonts w:ascii="Times New Roman" w:hAnsi="Times New Roman" w:cs="Times New Roman"/>
          <w:sz w:val="24"/>
          <w:szCs w:val="24"/>
        </w:rPr>
        <w:t xml:space="preserve"> is being reargued before the US Supreme Court.  The judicial question at hand is whether corporations can be tried under the </w:t>
      </w:r>
      <w:hyperlink r:id="rId26" w:history="1">
        <w:r w:rsidR="00907373" w:rsidRPr="009B4BEF">
          <w:rPr>
            <w:rStyle w:val="Hyperlink"/>
            <w:rFonts w:ascii="Times New Roman" w:hAnsi="Times New Roman" w:cs="Times New Roman"/>
            <w:sz w:val="24"/>
            <w:szCs w:val="24"/>
          </w:rPr>
          <w:t>A</w:t>
        </w:r>
        <w:r w:rsidR="00035A36" w:rsidRPr="009B4BEF">
          <w:rPr>
            <w:rStyle w:val="Hyperlink"/>
            <w:rFonts w:ascii="Times New Roman" w:hAnsi="Times New Roman" w:cs="Times New Roman"/>
            <w:sz w:val="24"/>
            <w:szCs w:val="24"/>
          </w:rPr>
          <w:t xml:space="preserve">lien </w:t>
        </w:r>
        <w:r w:rsidR="00907373" w:rsidRPr="009B4BEF">
          <w:rPr>
            <w:rStyle w:val="Hyperlink"/>
            <w:rFonts w:ascii="Times New Roman" w:hAnsi="Times New Roman" w:cs="Times New Roman"/>
            <w:sz w:val="24"/>
            <w:szCs w:val="24"/>
          </w:rPr>
          <w:t>T</w:t>
        </w:r>
        <w:r w:rsidR="00035A36" w:rsidRPr="009B4BEF">
          <w:rPr>
            <w:rStyle w:val="Hyperlink"/>
            <w:rFonts w:ascii="Times New Roman" w:hAnsi="Times New Roman" w:cs="Times New Roman"/>
            <w:sz w:val="24"/>
            <w:szCs w:val="24"/>
          </w:rPr>
          <w:t xml:space="preserve">ort </w:t>
        </w:r>
        <w:r w:rsidR="00907373" w:rsidRPr="009B4BEF">
          <w:rPr>
            <w:rStyle w:val="Hyperlink"/>
            <w:rFonts w:ascii="Times New Roman" w:hAnsi="Times New Roman" w:cs="Times New Roman"/>
            <w:sz w:val="24"/>
            <w:szCs w:val="24"/>
          </w:rPr>
          <w:t>S</w:t>
        </w:r>
        <w:r w:rsidR="00035A36" w:rsidRPr="009B4BEF">
          <w:rPr>
            <w:rStyle w:val="Hyperlink"/>
            <w:rFonts w:ascii="Times New Roman" w:hAnsi="Times New Roman" w:cs="Times New Roman"/>
            <w:sz w:val="24"/>
            <w:szCs w:val="24"/>
          </w:rPr>
          <w:t>tatue</w:t>
        </w:r>
      </w:hyperlink>
      <w:r w:rsidR="00907373" w:rsidRPr="009B4BEF">
        <w:rPr>
          <w:rFonts w:ascii="Times New Roman" w:hAnsi="Times New Roman" w:cs="Times New Roman"/>
          <w:sz w:val="24"/>
          <w:szCs w:val="24"/>
        </w:rPr>
        <w:t xml:space="preserve"> </w:t>
      </w:r>
      <w:r w:rsidR="00035A36" w:rsidRPr="009B4BEF">
        <w:rPr>
          <w:rFonts w:ascii="Times New Roman" w:hAnsi="Times New Roman" w:cs="Times New Roman"/>
          <w:sz w:val="24"/>
          <w:szCs w:val="24"/>
        </w:rPr>
        <w:t xml:space="preserve">(ATS), a law passed in 1789 </w:t>
      </w:r>
      <w:r w:rsidR="007B0554" w:rsidRPr="009B4BEF">
        <w:rPr>
          <w:rFonts w:ascii="Times New Roman" w:hAnsi="Times New Roman" w:cs="Times New Roman"/>
          <w:sz w:val="24"/>
          <w:szCs w:val="24"/>
        </w:rPr>
        <w:t>giving</w:t>
      </w:r>
      <w:r w:rsidR="00035A36" w:rsidRPr="009B4BEF">
        <w:rPr>
          <w:rFonts w:ascii="Times New Roman" w:hAnsi="Times New Roman" w:cs="Times New Roman"/>
          <w:sz w:val="24"/>
          <w:szCs w:val="24"/>
        </w:rPr>
        <w:t xml:space="preserve"> federal courts jurisdiction to hear civil suits </w:t>
      </w:r>
      <w:r w:rsidR="00FA2C95" w:rsidRPr="009B4BEF">
        <w:rPr>
          <w:rFonts w:ascii="Times New Roman" w:hAnsi="Times New Roman" w:cs="Times New Roman"/>
          <w:sz w:val="24"/>
          <w:szCs w:val="24"/>
        </w:rPr>
        <w:t xml:space="preserve">brought </w:t>
      </w:r>
      <w:r w:rsidR="00035A36" w:rsidRPr="009B4BEF">
        <w:rPr>
          <w:rFonts w:ascii="Times New Roman" w:hAnsi="Times New Roman" w:cs="Times New Roman"/>
          <w:sz w:val="24"/>
          <w:szCs w:val="24"/>
        </w:rPr>
        <w:t>by foreigners for violations of international law.  The</w:t>
      </w:r>
      <w:r w:rsidR="00907373" w:rsidRPr="009B4BEF">
        <w:rPr>
          <w:rFonts w:ascii="Times New Roman" w:hAnsi="Times New Roman" w:cs="Times New Roman"/>
          <w:sz w:val="24"/>
          <w:szCs w:val="24"/>
        </w:rPr>
        <w:t xml:space="preserve"> court's decision could have far reaching impacts on multinational corporations.  Although international law is traditionally applied to governments, the Supreme Court has ruled in prior cases that certain violations are universally condemned, r</w:t>
      </w:r>
      <w:r w:rsidR="002F3668" w:rsidRPr="009B4BEF">
        <w:rPr>
          <w:rFonts w:ascii="Times New Roman" w:hAnsi="Times New Roman" w:cs="Times New Roman"/>
          <w:sz w:val="24"/>
          <w:szCs w:val="24"/>
        </w:rPr>
        <w:t>egardless of who commits them.</w:t>
      </w:r>
    </w:p>
    <w:p w:rsidR="00B46314" w:rsidRPr="009B4BEF" w:rsidRDefault="00035A36" w:rsidP="00035A36">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The case, which was originally filed in a New York federal court in 2002, alleges Shell's complicity in the 1995 murder of nine Nigerian environmental activists who were protesting the company's failure to clean up oil spills.  The plaintiffs were 12 Nigerians who had been granted citizenship and political asylum in the US.  In 2006, the New York court ruled that Shell could be held liable for violations of international law and crimes against humanity, but not aiding and abetting extrajudicial killings.  Both parties appealed the decision.  In 2010, the US Court of Appeals upheld the lower court’s decision and in February of this year, the plaintiff’s brought their case to the US Supreme Court.  The court did not reach a verdict, and the case is being reargued this month.</w:t>
      </w:r>
    </w:p>
    <w:p w:rsidR="00B46314" w:rsidRPr="009B4BEF" w:rsidRDefault="00B46314" w:rsidP="00B46314">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Sources: </w:t>
      </w:r>
      <w:hyperlink r:id="rId27" w:history="1">
        <w:r w:rsidRPr="009B4BEF">
          <w:rPr>
            <w:rStyle w:val="Hyperlink"/>
            <w:rFonts w:ascii="Times New Roman" w:hAnsi="Times New Roman" w:cs="Times New Roman"/>
            <w:color w:val="auto"/>
            <w:sz w:val="24"/>
            <w:szCs w:val="24"/>
          </w:rPr>
          <w:t>Center for Justice and Accountability</w:t>
        </w:r>
      </w:hyperlink>
    </w:p>
    <w:p w:rsidR="003A499E" w:rsidRPr="009B4BEF" w:rsidRDefault="003A499E" w:rsidP="003A499E">
      <w:pPr>
        <w:spacing w:line="360" w:lineRule="auto"/>
        <w:rPr>
          <w:rFonts w:ascii="Times New Roman" w:hAnsi="Times New Roman" w:cs="Times New Roman"/>
          <w:b/>
          <w:sz w:val="24"/>
          <w:szCs w:val="24"/>
        </w:rPr>
      </w:pPr>
      <w:r w:rsidRPr="009B4BEF">
        <w:rPr>
          <w:rFonts w:ascii="Times New Roman" w:hAnsi="Times New Roman" w:cs="Times New Roman"/>
          <w:b/>
          <w:sz w:val="24"/>
          <w:szCs w:val="24"/>
        </w:rPr>
        <w:t>Oil Impacts on North Dakota Reservations</w:t>
      </w:r>
    </w:p>
    <w:p w:rsidR="003A499E" w:rsidRPr="009B4BEF" w:rsidRDefault="003A499E" w:rsidP="003A499E">
      <w:pPr>
        <w:spacing w:line="360" w:lineRule="auto"/>
        <w:rPr>
          <w:rFonts w:ascii="Times New Roman" w:hAnsi="Times New Roman" w:cs="Times New Roman"/>
          <w:sz w:val="24"/>
          <w:szCs w:val="24"/>
        </w:rPr>
      </w:pPr>
      <w:r w:rsidRPr="009B4BEF">
        <w:rPr>
          <w:rFonts w:ascii="Times New Roman" w:hAnsi="Times New Roman" w:cs="Times New Roman"/>
          <w:sz w:val="24"/>
          <w:szCs w:val="24"/>
        </w:rPr>
        <w:t xml:space="preserve">In October 10, the United States government signed an agreement with the Arikara, Hidatsa, and Mandan tribal governments to build an oil refinery on the </w:t>
      </w:r>
      <w:hyperlink r:id="rId28" w:history="1">
        <w:r w:rsidRPr="009B4BEF">
          <w:rPr>
            <w:rStyle w:val="Hyperlink"/>
            <w:rFonts w:ascii="Times New Roman" w:hAnsi="Times New Roman" w:cs="Times New Roman"/>
            <w:sz w:val="24"/>
            <w:szCs w:val="24"/>
          </w:rPr>
          <w:t>Fort Berthold Land Trust</w:t>
        </w:r>
      </w:hyperlink>
      <w:r w:rsidRPr="009B4BEF">
        <w:rPr>
          <w:rFonts w:ascii="Times New Roman" w:hAnsi="Times New Roman" w:cs="Times New Roman"/>
          <w:sz w:val="24"/>
          <w:szCs w:val="24"/>
        </w:rPr>
        <w:t xml:space="preserve"> in North Dakota.  The refinery is expected to create 800 to 1,200 jobs, and 37 percent of the tax revenue will be redistributed to the tribal communities.  According to the </w:t>
      </w:r>
      <w:hyperlink r:id="rId29" w:history="1">
        <w:r w:rsidRPr="009B4BEF">
          <w:rPr>
            <w:rStyle w:val="Hyperlink"/>
            <w:rFonts w:ascii="Times New Roman" w:hAnsi="Times New Roman" w:cs="Times New Roman"/>
            <w:sz w:val="24"/>
            <w:szCs w:val="24"/>
          </w:rPr>
          <w:t>Bureau of Indian Affairs</w:t>
        </w:r>
      </w:hyperlink>
      <w:r w:rsidRPr="009B4BEF">
        <w:rPr>
          <w:rFonts w:ascii="Times New Roman" w:hAnsi="Times New Roman" w:cs="Times New Roman"/>
          <w:sz w:val="24"/>
          <w:szCs w:val="24"/>
        </w:rPr>
        <w:t>, the project incorporates American Indian economic development with the Obama administration’s initiatives to expand domestic energy production.</w:t>
      </w:r>
    </w:p>
    <w:p w:rsidR="003A499E" w:rsidRPr="009B4BEF" w:rsidRDefault="003A499E" w:rsidP="003A499E">
      <w:pPr>
        <w:spacing w:line="360" w:lineRule="auto"/>
        <w:rPr>
          <w:rFonts w:ascii="Times New Roman" w:hAnsi="Times New Roman" w:cs="Times New Roman"/>
          <w:sz w:val="24"/>
          <w:szCs w:val="24"/>
        </w:rPr>
      </w:pPr>
      <w:r w:rsidRPr="009B4BEF">
        <w:rPr>
          <w:rFonts w:ascii="Times New Roman" w:hAnsi="Times New Roman" w:cs="Times New Roman"/>
          <w:sz w:val="24"/>
          <w:szCs w:val="24"/>
        </w:rPr>
        <w:t>But past oil ventures in North Dakota have had unforeseen consequences on the tribal communities</w:t>
      </w:r>
      <w:r w:rsidRPr="009B4BEF">
        <w:rPr>
          <w:rStyle w:val="Hyperlink"/>
          <w:rFonts w:ascii="Times New Roman" w:hAnsi="Times New Roman" w:cs="Times New Roman"/>
          <w:color w:val="auto"/>
          <w:sz w:val="24"/>
          <w:szCs w:val="24"/>
          <w:u w:val="none"/>
        </w:rPr>
        <w:t xml:space="preserve"> of the Fort Berthold reservation</w:t>
      </w:r>
      <w:r w:rsidRPr="009B4BEF">
        <w:rPr>
          <w:rFonts w:ascii="Times New Roman" w:hAnsi="Times New Roman" w:cs="Times New Roman"/>
          <w:sz w:val="24"/>
          <w:szCs w:val="24"/>
        </w:rPr>
        <w:t>.  Although they can create jobs, community members often lack the skills needed for them, and companies tend to prefer hiring qualified outsiders than investing in training programs.  The subsequent population increase can lead to severe housing shortages, and local residents are forcibly evicted in favor of the wealthier newcomers.  Infrastructure development on the reservation also lags, because tribal governments’ share of the tax revenue is not enough to cover the increased demand for roads, schools, houses, and other services.</w:t>
      </w:r>
    </w:p>
    <w:p w:rsidR="003A499E" w:rsidRPr="009B4BEF" w:rsidRDefault="003A499E" w:rsidP="003A499E">
      <w:pPr>
        <w:spacing w:line="360" w:lineRule="auto"/>
        <w:rPr>
          <w:rFonts w:ascii="Times New Roman" w:hAnsi="Times New Roman" w:cs="Times New Roman"/>
          <w:sz w:val="24"/>
          <w:szCs w:val="24"/>
        </w:rPr>
      </w:pPr>
      <w:r w:rsidRPr="009B4BEF">
        <w:rPr>
          <w:rFonts w:ascii="Times New Roman" w:hAnsi="Times New Roman" w:cs="Times New Roman"/>
          <w:sz w:val="24"/>
          <w:szCs w:val="24"/>
        </w:rPr>
        <w:t>Tribal governments are calling for a greater share of tax revenue from future projects on the reservation, but the real solution for managing the impacts of development lies in the planning process.  Measures must be taken from the start to ensure that jobs are awarded to local residents, and that communities are adequately prepared for population increases and other consequences of development.  Only then can the native residents of the Fort Berthold Land Trust harness the true economic potential of their lands.</w:t>
      </w:r>
    </w:p>
    <w:p w:rsidR="003A499E" w:rsidRPr="009B4BEF" w:rsidRDefault="003A499E" w:rsidP="003A499E">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Sources: </w:t>
      </w:r>
      <w:hyperlink r:id="rId30" w:history="1">
        <w:r w:rsidRPr="009B4BEF">
          <w:rPr>
            <w:rStyle w:val="Hyperlink"/>
            <w:rFonts w:ascii="Times New Roman" w:hAnsi="Times New Roman" w:cs="Times New Roman"/>
            <w:color w:val="auto"/>
            <w:sz w:val="24"/>
            <w:szCs w:val="24"/>
          </w:rPr>
          <w:t>Bismarck Tribune</w:t>
        </w:r>
      </w:hyperlink>
      <w:r w:rsidRPr="009B4BEF">
        <w:rPr>
          <w:rFonts w:ascii="Times New Roman" w:hAnsi="Times New Roman" w:cs="Times New Roman"/>
          <w:sz w:val="24"/>
          <w:szCs w:val="24"/>
        </w:rPr>
        <w:t xml:space="preserve">, </w:t>
      </w:r>
      <w:hyperlink r:id="rId31" w:history="1">
        <w:r w:rsidRPr="009B4BEF">
          <w:rPr>
            <w:rStyle w:val="Hyperlink"/>
            <w:rFonts w:ascii="Times New Roman" w:hAnsi="Times New Roman" w:cs="Times New Roman"/>
            <w:color w:val="auto"/>
            <w:sz w:val="24"/>
            <w:szCs w:val="24"/>
          </w:rPr>
          <w:t>Bureau of Indian Affairs</w:t>
        </w:r>
      </w:hyperlink>
      <w:r w:rsidRPr="009B4BEF">
        <w:rPr>
          <w:rFonts w:ascii="Times New Roman" w:hAnsi="Times New Roman" w:cs="Times New Roman"/>
          <w:sz w:val="24"/>
          <w:szCs w:val="24"/>
        </w:rPr>
        <w:t xml:space="preserve">, </w:t>
      </w:r>
      <w:hyperlink r:id="rId32" w:history="1">
        <w:r w:rsidRPr="009B4BEF">
          <w:rPr>
            <w:rStyle w:val="Hyperlink"/>
            <w:rFonts w:ascii="Times New Roman" w:hAnsi="Times New Roman" w:cs="Times New Roman"/>
            <w:color w:val="auto"/>
            <w:sz w:val="24"/>
            <w:szCs w:val="24"/>
          </w:rPr>
          <w:t>Indigenous Peoples Issues and Resources</w:t>
        </w:r>
      </w:hyperlink>
    </w:p>
    <w:p w:rsidR="00292F4D" w:rsidRPr="009B4BEF" w:rsidRDefault="00292F4D" w:rsidP="00292F4D">
      <w:pPr>
        <w:spacing w:line="360" w:lineRule="auto"/>
        <w:jc w:val="both"/>
        <w:rPr>
          <w:rFonts w:ascii="Times New Roman" w:hAnsi="Times New Roman" w:cs="Times New Roman"/>
          <w:b/>
          <w:sz w:val="24"/>
          <w:szCs w:val="24"/>
        </w:rPr>
      </w:pPr>
      <w:r w:rsidRPr="009B4BEF">
        <w:rPr>
          <w:rFonts w:ascii="Times New Roman" w:hAnsi="Times New Roman" w:cs="Times New Roman"/>
          <w:b/>
          <w:sz w:val="24"/>
          <w:szCs w:val="24"/>
        </w:rPr>
        <w:t xml:space="preserve">Mongolian Communities </w:t>
      </w:r>
      <w:r w:rsidR="00223C9C" w:rsidRPr="009B4BEF">
        <w:rPr>
          <w:rFonts w:ascii="Times New Roman" w:hAnsi="Times New Roman" w:cs="Times New Roman"/>
          <w:b/>
          <w:sz w:val="24"/>
          <w:szCs w:val="24"/>
        </w:rPr>
        <w:t>File Complaint with IFC</w:t>
      </w:r>
    </w:p>
    <w:p w:rsidR="00292F4D" w:rsidRPr="009B4BEF" w:rsidRDefault="00292F4D" w:rsidP="00292F4D">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On October 12, Mongolian herders submitted a complaint to the </w:t>
      </w:r>
      <w:hyperlink r:id="rId33" w:history="1">
        <w:r w:rsidRPr="009B4BEF">
          <w:rPr>
            <w:rStyle w:val="Hyperlink"/>
            <w:rFonts w:ascii="Times New Roman" w:hAnsi="Times New Roman" w:cs="Times New Roman"/>
            <w:sz w:val="24"/>
            <w:szCs w:val="24"/>
          </w:rPr>
          <w:t>International Finance Corporation</w:t>
        </w:r>
      </w:hyperlink>
      <w:r w:rsidRPr="009B4BEF">
        <w:rPr>
          <w:rFonts w:ascii="Times New Roman" w:hAnsi="Times New Roman" w:cs="Times New Roman"/>
          <w:sz w:val="24"/>
          <w:szCs w:val="24"/>
        </w:rPr>
        <w:t xml:space="preserve">, the private sector lending arm of the </w:t>
      </w:r>
      <w:hyperlink r:id="rId34" w:history="1">
        <w:r w:rsidRPr="009B4BEF">
          <w:rPr>
            <w:rStyle w:val="Hyperlink"/>
            <w:rFonts w:ascii="Times New Roman" w:hAnsi="Times New Roman" w:cs="Times New Roman"/>
            <w:sz w:val="24"/>
            <w:szCs w:val="24"/>
          </w:rPr>
          <w:t>World Bank</w:t>
        </w:r>
      </w:hyperlink>
      <w:r w:rsidRPr="009B4BEF">
        <w:rPr>
          <w:rFonts w:ascii="Times New Roman" w:hAnsi="Times New Roman" w:cs="Times New Roman"/>
          <w:sz w:val="24"/>
          <w:szCs w:val="24"/>
        </w:rPr>
        <w:t>, regarding Rio Tinto’s (LON:</w:t>
      </w:r>
      <w:r w:rsidR="00223C9C" w:rsidRPr="009B4BEF">
        <w:rPr>
          <w:rFonts w:ascii="Times New Roman" w:hAnsi="Times New Roman" w:cs="Times New Roman"/>
          <w:sz w:val="24"/>
          <w:szCs w:val="24"/>
        </w:rPr>
        <w:t xml:space="preserve"> </w:t>
      </w:r>
      <w:r w:rsidRPr="009B4BEF">
        <w:rPr>
          <w:rFonts w:ascii="Times New Roman" w:hAnsi="Times New Roman" w:cs="Times New Roman"/>
          <w:sz w:val="24"/>
          <w:szCs w:val="24"/>
        </w:rPr>
        <w:t>RIO) Oyu Tolgoi Mine in the Gobi Desert.  The World Bank is considering financing the mine with $900 million in loans and $1 billion in political risk insurance, despite opposition to the project from Indigenous herders, which comprise nearly a quarter of Mongolia’s population.</w:t>
      </w:r>
    </w:p>
    <w:p w:rsidR="00292F4D" w:rsidRPr="009B4BEF" w:rsidRDefault="00C40403" w:rsidP="00292F4D">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A</w:t>
      </w:r>
      <w:r w:rsidR="00292F4D" w:rsidRPr="009B4BEF">
        <w:rPr>
          <w:rFonts w:ascii="Times New Roman" w:hAnsi="Times New Roman" w:cs="Times New Roman"/>
          <w:sz w:val="24"/>
          <w:szCs w:val="24"/>
        </w:rPr>
        <w:t xml:space="preserve"> recent </w:t>
      </w:r>
      <w:hyperlink r:id="rId35" w:history="1">
        <w:r w:rsidR="00292F4D" w:rsidRPr="009B4BEF">
          <w:rPr>
            <w:rStyle w:val="Hyperlink"/>
            <w:rFonts w:ascii="Times New Roman" w:hAnsi="Times New Roman" w:cs="Times New Roman"/>
            <w:sz w:val="24"/>
            <w:szCs w:val="24"/>
          </w:rPr>
          <w:t>report</w:t>
        </w:r>
      </w:hyperlink>
      <w:r w:rsidR="00292F4D" w:rsidRPr="009B4BEF">
        <w:rPr>
          <w:rFonts w:ascii="Times New Roman" w:hAnsi="Times New Roman" w:cs="Times New Roman"/>
          <w:sz w:val="24"/>
          <w:szCs w:val="24"/>
        </w:rPr>
        <w:t xml:space="preserve"> by </w:t>
      </w:r>
      <w:hyperlink r:id="rId36" w:history="1">
        <w:r w:rsidR="00292F4D" w:rsidRPr="009B4BEF">
          <w:rPr>
            <w:rStyle w:val="Hyperlink"/>
            <w:rFonts w:ascii="Times New Roman" w:hAnsi="Times New Roman" w:cs="Times New Roman"/>
            <w:sz w:val="24"/>
            <w:szCs w:val="24"/>
          </w:rPr>
          <w:t>Oxfam America</w:t>
        </w:r>
      </w:hyperlink>
      <w:r w:rsidR="00292F4D" w:rsidRPr="009B4BEF">
        <w:rPr>
          <w:rFonts w:ascii="Times New Roman" w:hAnsi="Times New Roman" w:cs="Times New Roman"/>
          <w:sz w:val="24"/>
          <w:szCs w:val="24"/>
        </w:rPr>
        <w:t xml:space="preserve"> found that Rio Tinto made explicit public commitments to recognizing Indigenous Peoples’ right to Free, Prior, and Informed Consent (FPIC)</w:t>
      </w:r>
      <w:r w:rsidRPr="009B4BEF">
        <w:rPr>
          <w:rFonts w:ascii="Times New Roman" w:hAnsi="Times New Roman" w:cs="Times New Roman"/>
          <w:sz w:val="24"/>
          <w:szCs w:val="24"/>
        </w:rPr>
        <w:t xml:space="preserve">, </w:t>
      </w:r>
      <w:r w:rsidR="00E10B4B" w:rsidRPr="009B4BEF">
        <w:rPr>
          <w:rFonts w:ascii="Times New Roman" w:hAnsi="Times New Roman" w:cs="Times New Roman"/>
          <w:sz w:val="24"/>
          <w:szCs w:val="24"/>
        </w:rPr>
        <w:t>but t</w:t>
      </w:r>
      <w:r w:rsidRPr="009B4BEF">
        <w:rPr>
          <w:rFonts w:ascii="Times New Roman" w:hAnsi="Times New Roman" w:cs="Times New Roman"/>
          <w:sz w:val="24"/>
          <w:szCs w:val="24"/>
        </w:rPr>
        <w:t>he herders are claiming their</w:t>
      </w:r>
      <w:r w:rsidR="00292F4D" w:rsidRPr="009B4BEF">
        <w:rPr>
          <w:rFonts w:ascii="Times New Roman" w:hAnsi="Times New Roman" w:cs="Times New Roman"/>
          <w:sz w:val="24"/>
          <w:szCs w:val="24"/>
        </w:rPr>
        <w:t xml:space="preserve"> unique nomadic lifestyle was not taken into consideration</w:t>
      </w:r>
      <w:r w:rsidR="00E10B4B" w:rsidRPr="009B4BEF">
        <w:rPr>
          <w:rFonts w:ascii="Times New Roman" w:hAnsi="Times New Roman" w:cs="Times New Roman"/>
          <w:sz w:val="24"/>
          <w:szCs w:val="24"/>
        </w:rPr>
        <w:t xml:space="preserve"> in the consultation process.  R</w:t>
      </w:r>
      <w:r w:rsidR="00292F4D" w:rsidRPr="009B4BEF">
        <w:rPr>
          <w:rFonts w:ascii="Times New Roman" w:hAnsi="Times New Roman" w:cs="Times New Roman"/>
          <w:sz w:val="24"/>
          <w:szCs w:val="24"/>
        </w:rPr>
        <w:t>esettlement compensation was allotted based on their distance from the mine, rather than the total size of their pasture being taken away</w:t>
      </w:r>
      <w:r w:rsidR="00E10B4B" w:rsidRPr="009B4BEF">
        <w:rPr>
          <w:rFonts w:ascii="Times New Roman" w:hAnsi="Times New Roman" w:cs="Times New Roman"/>
          <w:sz w:val="24"/>
          <w:szCs w:val="24"/>
        </w:rPr>
        <w:t>, and t</w:t>
      </w:r>
      <w:r w:rsidR="00292F4D" w:rsidRPr="009B4BEF">
        <w:rPr>
          <w:rFonts w:ascii="Times New Roman" w:hAnsi="Times New Roman" w:cs="Times New Roman"/>
          <w:sz w:val="24"/>
          <w:szCs w:val="24"/>
        </w:rPr>
        <w:t xml:space="preserve">he resettled herders were not provided adequate time to seek protection from winter storms, resulting in major herd losses.  </w:t>
      </w:r>
      <w:r w:rsidR="00E10B4B" w:rsidRPr="009B4BEF">
        <w:rPr>
          <w:rFonts w:ascii="Times New Roman" w:hAnsi="Times New Roman" w:cs="Times New Roman"/>
          <w:sz w:val="24"/>
          <w:szCs w:val="24"/>
        </w:rPr>
        <w:t>The herders also claim Rio Tinto failed to give adequate notice for</w:t>
      </w:r>
      <w:r w:rsidR="00292F4D" w:rsidRPr="009B4BEF">
        <w:rPr>
          <w:rFonts w:ascii="Times New Roman" w:hAnsi="Times New Roman" w:cs="Times New Roman"/>
          <w:sz w:val="24"/>
          <w:szCs w:val="24"/>
        </w:rPr>
        <w:t xml:space="preserve"> public meeting</w:t>
      </w:r>
      <w:r w:rsidR="00E10B4B" w:rsidRPr="009B4BEF">
        <w:rPr>
          <w:rFonts w:ascii="Times New Roman" w:hAnsi="Times New Roman" w:cs="Times New Roman"/>
          <w:sz w:val="24"/>
          <w:szCs w:val="24"/>
        </w:rPr>
        <w:t>s about the</w:t>
      </w:r>
      <w:r w:rsidR="00292F4D" w:rsidRPr="009B4BEF">
        <w:rPr>
          <w:rFonts w:ascii="Times New Roman" w:hAnsi="Times New Roman" w:cs="Times New Roman"/>
          <w:sz w:val="24"/>
          <w:szCs w:val="24"/>
        </w:rPr>
        <w:t xml:space="preserve"> project</w:t>
      </w:r>
      <w:r w:rsidR="009B4BEF" w:rsidRPr="009B4BEF">
        <w:rPr>
          <w:rFonts w:ascii="Times New Roman" w:hAnsi="Times New Roman" w:cs="Times New Roman"/>
          <w:sz w:val="24"/>
          <w:szCs w:val="24"/>
        </w:rPr>
        <w:t>, and herders who live miles away and lack modern transportation methods were unable to attend.</w:t>
      </w:r>
    </w:p>
    <w:p w:rsidR="00292F4D" w:rsidRPr="009B4BEF" w:rsidRDefault="001C353F" w:rsidP="001C353F">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In 2011, t</w:t>
      </w:r>
      <w:r w:rsidR="00292F4D" w:rsidRPr="009B4BEF">
        <w:rPr>
          <w:rFonts w:ascii="Times New Roman" w:hAnsi="Times New Roman" w:cs="Times New Roman"/>
          <w:sz w:val="24"/>
          <w:szCs w:val="24"/>
        </w:rPr>
        <w:t>he IFC adopted FPIC as a</w:t>
      </w:r>
      <w:r w:rsidRPr="009B4BEF">
        <w:rPr>
          <w:rFonts w:ascii="Times New Roman" w:hAnsi="Times New Roman" w:cs="Times New Roman"/>
          <w:sz w:val="24"/>
          <w:szCs w:val="24"/>
        </w:rPr>
        <w:t xml:space="preserve"> required</w:t>
      </w:r>
      <w:r w:rsidR="00292F4D" w:rsidRPr="009B4BEF">
        <w:rPr>
          <w:rFonts w:ascii="Times New Roman" w:hAnsi="Times New Roman" w:cs="Times New Roman"/>
          <w:sz w:val="24"/>
          <w:szCs w:val="24"/>
        </w:rPr>
        <w:t xml:space="preserve"> o</w:t>
      </w:r>
      <w:r w:rsidRPr="009B4BEF">
        <w:rPr>
          <w:rFonts w:ascii="Times New Roman" w:hAnsi="Times New Roman" w:cs="Times New Roman"/>
          <w:sz w:val="24"/>
          <w:szCs w:val="24"/>
        </w:rPr>
        <w:t>perating standard for companies within its network.  Its response to the herders’ complaint will indicate its willingness to implement this policy.</w:t>
      </w:r>
    </w:p>
    <w:p w:rsidR="00292F4D" w:rsidRPr="009B4BEF" w:rsidRDefault="00292F4D" w:rsidP="00292F4D">
      <w:pPr>
        <w:spacing w:line="360" w:lineRule="auto"/>
        <w:jc w:val="both"/>
        <w:rPr>
          <w:rFonts w:ascii="Times New Roman" w:hAnsi="Times New Roman" w:cs="Times New Roman"/>
          <w:sz w:val="24"/>
          <w:szCs w:val="24"/>
        </w:rPr>
      </w:pPr>
      <w:r w:rsidRPr="009B4BEF">
        <w:rPr>
          <w:rFonts w:ascii="Times New Roman" w:hAnsi="Times New Roman" w:cs="Times New Roman"/>
          <w:sz w:val="24"/>
          <w:szCs w:val="24"/>
        </w:rPr>
        <w:t xml:space="preserve">Sources: </w:t>
      </w:r>
      <w:hyperlink r:id="rId37" w:history="1">
        <w:r w:rsidRPr="009B4BEF">
          <w:rPr>
            <w:rStyle w:val="Hyperlink"/>
            <w:rFonts w:ascii="Times New Roman" w:hAnsi="Times New Roman" w:cs="Times New Roman"/>
            <w:color w:val="auto"/>
            <w:sz w:val="24"/>
            <w:szCs w:val="24"/>
          </w:rPr>
          <w:t>Bank Information Center</w:t>
        </w:r>
      </w:hyperlink>
    </w:p>
    <w:sectPr w:rsidR="00292F4D" w:rsidRPr="009B4BEF" w:rsidSect="005B12FF">
      <w:foot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D16" w:rsidRDefault="005F4D16" w:rsidP="005F4D16">
      <w:pPr>
        <w:spacing w:after="0" w:line="240" w:lineRule="auto"/>
      </w:pPr>
      <w:r>
        <w:separator/>
      </w:r>
    </w:p>
  </w:endnote>
  <w:endnote w:type="continuationSeparator" w:id="0">
    <w:p w:rsidR="005F4D16" w:rsidRDefault="005F4D16" w:rsidP="005F4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Quicksand Book Regular">
    <w:altName w:val="Palatino Linotype"/>
    <w:charset w:val="00"/>
    <w:family w:val="auto"/>
    <w:pitch w:val="variable"/>
    <w:sig w:usb0="00000001" w:usb1="00000008"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D16" w:rsidRDefault="005F4D16" w:rsidP="005F4D16">
    <w:pPr>
      <w:pStyle w:val="Footer"/>
      <w:jc w:val="center"/>
      <w:rPr>
        <w:rFonts w:ascii="Quicksand Book Regular" w:hAnsi="Quicksand Book Regular"/>
        <w:color w:val="000000" w:themeColor="text1"/>
        <w:sz w:val="18"/>
        <w:szCs w:val="18"/>
      </w:rPr>
    </w:pPr>
  </w:p>
  <w:p w:rsidR="005F4D16" w:rsidRDefault="005F4D16" w:rsidP="005F4D16">
    <w:pPr>
      <w:pStyle w:val="Footer"/>
      <w:jc w:val="center"/>
      <w:rPr>
        <w:rFonts w:ascii="Quicksand Book Regular" w:hAnsi="Quicksand Book Regular"/>
        <w:color w:val="000000" w:themeColor="text1"/>
        <w:sz w:val="18"/>
        <w:szCs w:val="18"/>
      </w:rPr>
    </w:pPr>
  </w:p>
  <w:p w:rsidR="005F4D16" w:rsidRPr="008038EE" w:rsidRDefault="005F4D16" w:rsidP="005F4D16">
    <w:pPr>
      <w:pStyle w:val="Footer"/>
      <w:jc w:val="center"/>
      <w:rPr>
        <w:rFonts w:ascii="Quicksand Book Regular" w:hAnsi="Quicksand Book Regular"/>
        <w:color w:val="000000" w:themeColor="text1"/>
        <w:sz w:val="18"/>
        <w:szCs w:val="18"/>
      </w:rPr>
    </w:pPr>
    <w:r>
      <w:rPr>
        <w:rFonts w:ascii="Quicksand Book Regular" w:hAnsi="Quicksand Book Regular"/>
        <w:noProof/>
        <w:color w:val="000000" w:themeColor="text1"/>
        <w:sz w:val="18"/>
        <w:szCs w:val="18"/>
      </w:rPr>
      <w:drawing>
        <wp:anchor distT="0" distB="0" distL="114300" distR="114300" simplePos="0" relativeHeight="251661312" behindDoc="1" locked="0" layoutInCell="1" allowOverlap="1">
          <wp:simplePos x="0" y="0"/>
          <wp:positionH relativeFrom="column">
            <wp:align>center</wp:align>
          </wp:positionH>
          <wp:positionV relativeFrom="page">
            <wp:align>bottom</wp:align>
          </wp:positionV>
          <wp:extent cx="7772400" cy="4572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8038EE">
      <w:rPr>
        <w:rFonts w:ascii="Quicksand Book Regular" w:hAnsi="Quicksand Book Regular"/>
        <w:color w:val="000000" w:themeColor="text1"/>
        <w:sz w:val="18"/>
        <w:szCs w:val="18"/>
      </w:rPr>
      <w:t xml:space="preserve">First Peoples Worldwide | 857 Leeland Rd Fredericksburg, VA 22405 | </w:t>
    </w:r>
    <w:hyperlink r:id="rId2" w:tgtFrame="_blank" w:history="1">
      <w:r w:rsidRPr="008038EE">
        <w:rPr>
          <w:rStyle w:val="Hyperlink"/>
          <w:rFonts w:ascii="Quicksand Book Regular" w:eastAsia="Times New Roman" w:hAnsi="Quicksand Book Regular"/>
          <w:color w:val="000000" w:themeColor="text1"/>
          <w:sz w:val="18"/>
          <w:szCs w:val="18"/>
          <w:u w:val="none"/>
        </w:rPr>
        <w:t>(540) 899-6545</w:t>
      </w:r>
    </w:hyperlink>
  </w:p>
  <w:p w:rsidR="005F4D16" w:rsidRDefault="005F4D16">
    <w:pPr>
      <w:pStyle w:val="Footer"/>
    </w:pPr>
  </w:p>
  <w:p w:rsidR="005F4D16" w:rsidRDefault="005F4D16">
    <w:pPr>
      <w:pStyle w:val="Footer"/>
    </w:pPr>
    <w:r w:rsidRPr="005F4D16">
      <w:rPr>
        <w:noProof/>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7776000" cy="46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foot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D16" w:rsidRDefault="005F4D16" w:rsidP="005F4D16">
      <w:pPr>
        <w:spacing w:after="0" w:line="240" w:lineRule="auto"/>
      </w:pPr>
      <w:r>
        <w:separator/>
      </w:r>
    </w:p>
  </w:footnote>
  <w:footnote w:type="continuationSeparator" w:id="0">
    <w:p w:rsidR="005F4D16" w:rsidRDefault="005F4D16" w:rsidP="005F4D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86FF5"/>
    <w:rsid w:val="0002433C"/>
    <w:rsid w:val="00025839"/>
    <w:rsid w:val="00035A36"/>
    <w:rsid w:val="00053957"/>
    <w:rsid w:val="0007511E"/>
    <w:rsid w:val="00115CEC"/>
    <w:rsid w:val="00123513"/>
    <w:rsid w:val="00136F79"/>
    <w:rsid w:val="00137016"/>
    <w:rsid w:val="001875AE"/>
    <w:rsid w:val="001979F9"/>
    <w:rsid w:val="001C353F"/>
    <w:rsid w:val="001C52CA"/>
    <w:rsid w:val="001C7058"/>
    <w:rsid w:val="00200544"/>
    <w:rsid w:val="002020A3"/>
    <w:rsid w:val="00202608"/>
    <w:rsid w:val="00223C9C"/>
    <w:rsid w:val="00223E03"/>
    <w:rsid w:val="00242359"/>
    <w:rsid w:val="002479D5"/>
    <w:rsid w:val="00267155"/>
    <w:rsid w:val="002704AC"/>
    <w:rsid w:val="00277249"/>
    <w:rsid w:val="00286FF5"/>
    <w:rsid w:val="002900CC"/>
    <w:rsid w:val="00292F4D"/>
    <w:rsid w:val="002A798D"/>
    <w:rsid w:val="002C6C8C"/>
    <w:rsid w:val="002D1B24"/>
    <w:rsid w:val="002E4EB1"/>
    <w:rsid w:val="002E6265"/>
    <w:rsid w:val="002F0A29"/>
    <w:rsid w:val="002F2E27"/>
    <w:rsid w:val="002F3668"/>
    <w:rsid w:val="002F5CA8"/>
    <w:rsid w:val="00305610"/>
    <w:rsid w:val="00322949"/>
    <w:rsid w:val="00325996"/>
    <w:rsid w:val="00327589"/>
    <w:rsid w:val="0034040D"/>
    <w:rsid w:val="003416DC"/>
    <w:rsid w:val="00384357"/>
    <w:rsid w:val="00393263"/>
    <w:rsid w:val="003A499E"/>
    <w:rsid w:val="003F1D67"/>
    <w:rsid w:val="00411E76"/>
    <w:rsid w:val="0041230E"/>
    <w:rsid w:val="0043468C"/>
    <w:rsid w:val="00445920"/>
    <w:rsid w:val="004603FA"/>
    <w:rsid w:val="00474796"/>
    <w:rsid w:val="004A2326"/>
    <w:rsid w:val="004C1C50"/>
    <w:rsid w:val="004D3F71"/>
    <w:rsid w:val="004F440E"/>
    <w:rsid w:val="0052216F"/>
    <w:rsid w:val="0052578F"/>
    <w:rsid w:val="00533F5E"/>
    <w:rsid w:val="00534677"/>
    <w:rsid w:val="0054684B"/>
    <w:rsid w:val="00561668"/>
    <w:rsid w:val="005913C0"/>
    <w:rsid w:val="005A271F"/>
    <w:rsid w:val="005A32C6"/>
    <w:rsid w:val="005B12FF"/>
    <w:rsid w:val="005B47D1"/>
    <w:rsid w:val="005E50C5"/>
    <w:rsid w:val="005F4D16"/>
    <w:rsid w:val="005F7861"/>
    <w:rsid w:val="00604B1F"/>
    <w:rsid w:val="006058A1"/>
    <w:rsid w:val="00605BF1"/>
    <w:rsid w:val="00614D8C"/>
    <w:rsid w:val="00616311"/>
    <w:rsid w:val="006264A3"/>
    <w:rsid w:val="00634BBB"/>
    <w:rsid w:val="00655C6F"/>
    <w:rsid w:val="00664675"/>
    <w:rsid w:val="006A0108"/>
    <w:rsid w:val="006D2425"/>
    <w:rsid w:val="006D4882"/>
    <w:rsid w:val="006D5503"/>
    <w:rsid w:val="006E150F"/>
    <w:rsid w:val="006E1B6F"/>
    <w:rsid w:val="006F276C"/>
    <w:rsid w:val="006F3867"/>
    <w:rsid w:val="0071407C"/>
    <w:rsid w:val="0071735D"/>
    <w:rsid w:val="007412A8"/>
    <w:rsid w:val="007475B2"/>
    <w:rsid w:val="0077788A"/>
    <w:rsid w:val="00780B73"/>
    <w:rsid w:val="00780C61"/>
    <w:rsid w:val="007A7DA7"/>
    <w:rsid w:val="007B0554"/>
    <w:rsid w:val="007B6269"/>
    <w:rsid w:val="007D0BB0"/>
    <w:rsid w:val="008034C1"/>
    <w:rsid w:val="00805DBC"/>
    <w:rsid w:val="00823A28"/>
    <w:rsid w:val="00836343"/>
    <w:rsid w:val="008439CF"/>
    <w:rsid w:val="008524EC"/>
    <w:rsid w:val="0086064D"/>
    <w:rsid w:val="00864209"/>
    <w:rsid w:val="00876DEA"/>
    <w:rsid w:val="008A1129"/>
    <w:rsid w:val="008A1B37"/>
    <w:rsid w:val="008A45E1"/>
    <w:rsid w:val="008B3C2F"/>
    <w:rsid w:val="008F03C4"/>
    <w:rsid w:val="008F41CD"/>
    <w:rsid w:val="00907373"/>
    <w:rsid w:val="0093448F"/>
    <w:rsid w:val="009424E6"/>
    <w:rsid w:val="0096458F"/>
    <w:rsid w:val="0097420D"/>
    <w:rsid w:val="00982808"/>
    <w:rsid w:val="00985B6B"/>
    <w:rsid w:val="009B4BEF"/>
    <w:rsid w:val="009C1754"/>
    <w:rsid w:val="009D7B7F"/>
    <w:rsid w:val="009E271B"/>
    <w:rsid w:val="009F58FF"/>
    <w:rsid w:val="00A00444"/>
    <w:rsid w:val="00A0319F"/>
    <w:rsid w:val="00A07115"/>
    <w:rsid w:val="00A2174E"/>
    <w:rsid w:val="00A23C90"/>
    <w:rsid w:val="00A25AFE"/>
    <w:rsid w:val="00A4309B"/>
    <w:rsid w:val="00A5148D"/>
    <w:rsid w:val="00A74119"/>
    <w:rsid w:val="00A74F2B"/>
    <w:rsid w:val="00A82575"/>
    <w:rsid w:val="00A84556"/>
    <w:rsid w:val="00A95D4D"/>
    <w:rsid w:val="00AD270B"/>
    <w:rsid w:val="00AD2EB5"/>
    <w:rsid w:val="00B22E4D"/>
    <w:rsid w:val="00B242D8"/>
    <w:rsid w:val="00B369D6"/>
    <w:rsid w:val="00B438B4"/>
    <w:rsid w:val="00B46314"/>
    <w:rsid w:val="00B55149"/>
    <w:rsid w:val="00B618CB"/>
    <w:rsid w:val="00B76D0F"/>
    <w:rsid w:val="00B77448"/>
    <w:rsid w:val="00B835ED"/>
    <w:rsid w:val="00B9045E"/>
    <w:rsid w:val="00B92BFC"/>
    <w:rsid w:val="00BA6DEF"/>
    <w:rsid w:val="00BC7916"/>
    <w:rsid w:val="00BD0CBF"/>
    <w:rsid w:val="00BD64E0"/>
    <w:rsid w:val="00BE1ABA"/>
    <w:rsid w:val="00BE6591"/>
    <w:rsid w:val="00BE6742"/>
    <w:rsid w:val="00BF2507"/>
    <w:rsid w:val="00BF5BFC"/>
    <w:rsid w:val="00C017B2"/>
    <w:rsid w:val="00C0588B"/>
    <w:rsid w:val="00C10C69"/>
    <w:rsid w:val="00C210D5"/>
    <w:rsid w:val="00C40403"/>
    <w:rsid w:val="00C42910"/>
    <w:rsid w:val="00C501F7"/>
    <w:rsid w:val="00C56898"/>
    <w:rsid w:val="00C77A29"/>
    <w:rsid w:val="00CB77B7"/>
    <w:rsid w:val="00CE247A"/>
    <w:rsid w:val="00CF1EB6"/>
    <w:rsid w:val="00D11298"/>
    <w:rsid w:val="00D307F1"/>
    <w:rsid w:val="00D425E5"/>
    <w:rsid w:val="00D5058D"/>
    <w:rsid w:val="00D534FA"/>
    <w:rsid w:val="00D66277"/>
    <w:rsid w:val="00D72733"/>
    <w:rsid w:val="00D765BA"/>
    <w:rsid w:val="00DB1B0B"/>
    <w:rsid w:val="00E10B4B"/>
    <w:rsid w:val="00E1217A"/>
    <w:rsid w:val="00E230E1"/>
    <w:rsid w:val="00E432A1"/>
    <w:rsid w:val="00E5458D"/>
    <w:rsid w:val="00E546CC"/>
    <w:rsid w:val="00E55A4E"/>
    <w:rsid w:val="00E75A78"/>
    <w:rsid w:val="00E804F6"/>
    <w:rsid w:val="00E970CD"/>
    <w:rsid w:val="00EA467F"/>
    <w:rsid w:val="00EC437D"/>
    <w:rsid w:val="00EC4568"/>
    <w:rsid w:val="00ED5FB7"/>
    <w:rsid w:val="00EE1D2A"/>
    <w:rsid w:val="00F03737"/>
    <w:rsid w:val="00F10117"/>
    <w:rsid w:val="00F13829"/>
    <w:rsid w:val="00F26BB6"/>
    <w:rsid w:val="00F26D94"/>
    <w:rsid w:val="00F32026"/>
    <w:rsid w:val="00F3657B"/>
    <w:rsid w:val="00F4758F"/>
    <w:rsid w:val="00F50D73"/>
    <w:rsid w:val="00F94C8B"/>
    <w:rsid w:val="00FA2C95"/>
    <w:rsid w:val="00FB2BE5"/>
    <w:rsid w:val="00FB34E4"/>
    <w:rsid w:val="00FB6A6D"/>
    <w:rsid w:val="00FE1620"/>
    <w:rsid w:val="00FF00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2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788A"/>
    <w:rPr>
      <w:color w:val="095197"/>
      <w:u w:val="single"/>
    </w:rPr>
  </w:style>
  <w:style w:type="character" w:styleId="FollowedHyperlink">
    <w:name w:val="FollowedHyperlink"/>
    <w:basedOn w:val="DefaultParagraphFont"/>
    <w:uiPriority w:val="99"/>
    <w:semiHidden/>
    <w:unhideWhenUsed/>
    <w:rsid w:val="0077788A"/>
    <w:rPr>
      <w:color w:val="800080" w:themeColor="followedHyperlink"/>
      <w:u w:val="single"/>
    </w:rPr>
  </w:style>
  <w:style w:type="character" w:customStyle="1" w:styleId="apple-converted-space">
    <w:name w:val="apple-converted-space"/>
    <w:basedOn w:val="DefaultParagraphFont"/>
    <w:rsid w:val="005A271F"/>
  </w:style>
  <w:style w:type="character" w:styleId="CommentReference">
    <w:name w:val="annotation reference"/>
    <w:basedOn w:val="DefaultParagraphFont"/>
    <w:uiPriority w:val="99"/>
    <w:semiHidden/>
    <w:unhideWhenUsed/>
    <w:rsid w:val="0052578F"/>
    <w:rPr>
      <w:sz w:val="16"/>
      <w:szCs w:val="16"/>
    </w:rPr>
  </w:style>
  <w:style w:type="paragraph" w:styleId="CommentText">
    <w:name w:val="annotation text"/>
    <w:basedOn w:val="Normal"/>
    <w:link w:val="CommentTextChar"/>
    <w:uiPriority w:val="99"/>
    <w:semiHidden/>
    <w:unhideWhenUsed/>
    <w:rsid w:val="0052578F"/>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2578F"/>
    <w:rPr>
      <w:rFonts w:eastAsiaTheme="minorEastAsia"/>
      <w:sz w:val="20"/>
      <w:szCs w:val="20"/>
    </w:rPr>
  </w:style>
  <w:style w:type="paragraph" w:styleId="BalloonText">
    <w:name w:val="Balloon Text"/>
    <w:basedOn w:val="Normal"/>
    <w:link w:val="BalloonTextChar"/>
    <w:uiPriority w:val="99"/>
    <w:semiHidden/>
    <w:unhideWhenUsed/>
    <w:rsid w:val="00525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78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82808"/>
    <w:pPr>
      <w:spacing w:after="200"/>
    </w:pPr>
    <w:rPr>
      <w:rFonts w:eastAsiaTheme="minorHAnsi"/>
      <w:b/>
      <w:bCs/>
    </w:rPr>
  </w:style>
  <w:style w:type="character" w:customStyle="1" w:styleId="CommentSubjectChar">
    <w:name w:val="Comment Subject Char"/>
    <w:basedOn w:val="CommentTextChar"/>
    <w:link w:val="CommentSubject"/>
    <w:uiPriority w:val="99"/>
    <w:semiHidden/>
    <w:rsid w:val="00982808"/>
    <w:rPr>
      <w:rFonts w:eastAsiaTheme="minorEastAsia"/>
      <w:b/>
      <w:bCs/>
      <w:sz w:val="20"/>
      <w:szCs w:val="20"/>
    </w:rPr>
  </w:style>
  <w:style w:type="paragraph" w:styleId="Header">
    <w:name w:val="header"/>
    <w:basedOn w:val="Normal"/>
    <w:link w:val="HeaderChar"/>
    <w:uiPriority w:val="99"/>
    <w:semiHidden/>
    <w:unhideWhenUsed/>
    <w:rsid w:val="005F4D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4D16"/>
  </w:style>
  <w:style w:type="paragraph" w:styleId="Footer">
    <w:name w:val="footer"/>
    <w:basedOn w:val="Normal"/>
    <w:link w:val="FooterChar"/>
    <w:uiPriority w:val="99"/>
    <w:unhideWhenUsed/>
    <w:rsid w:val="005F4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D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gob.pe" TargetMode="External"/><Relationship Id="rId13" Type="http://schemas.openxmlformats.org/officeDocument/2006/relationships/hyperlink" Target="http://chevrontoxico.com/assets/docs/2012-april-chevrons-failure-to-disclose.pdf" TargetMode="External"/><Relationship Id="rId18" Type="http://schemas.openxmlformats.org/officeDocument/2006/relationships/hyperlink" Target="http://www.wdlac.com.au/" TargetMode="External"/><Relationship Id="rId26" Type="http://schemas.openxmlformats.org/officeDocument/2006/relationships/hyperlink" Target="http://www.law.cornell.edu/uscode/text/28/1350"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eimagazine.com/story.asp?sectioncode=132&amp;storyCode=2063186" TargetMode="External"/><Relationship Id="rId34" Type="http://schemas.openxmlformats.org/officeDocument/2006/relationships/hyperlink" Target="http://www.worldbank.org/" TargetMode="External"/><Relationship Id="rId7" Type="http://schemas.openxmlformats.org/officeDocument/2006/relationships/image" Target="media/image1.jpeg"/><Relationship Id="rId12" Type="http://schemas.openxmlformats.org/officeDocument/2006/relationships/hyperlink" Target="http://indiancountrytodaymedianetwork.com/2012/10/02/perus-constitutional-tribunal-rules-in-favor-of-indigenous-community-137120" TargetMode="External"/><Relationship Id="rId17" Type="http://schemas.openxmlformats.org/officeDocument/2006/relationships/hyperlink" Target="http://texacotoxico.org/eng/" TargetMode="External"/><Relationship Id="rId25" Type="http://schemas.openxmlformats.org/officeDocument/2006/relationships/hyperlink" Target="http://ccrjustice.org/ourcases/current-cases/kiobel" TargetMode="External"/><Relationship Id="rId33" Type="http://schemas.openxmlformats.org/officeDocument/2006/relationships/hyperlink" Target="http://www1.ifc.org/wps/wcm/connect/corp_ext_content/ifc_external_corporate_site/home"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srwire.com/press_releases/34777-Chevron-CEO-John-Watson-Lied-to-Shareholders-About-Not-Having-Assets-In-Ecuador" TargetMode="External"/><Relationship Id="rId20" Type="http://schemas.openxmlformats.org/officeDocument/2006/relationships/hyperlink" Target="http://www.miningweekly.com/article/cameco-signs-deal-with-aboriginal-landholders-2012-10-12" TargetMode="External"/><Relationship Id="rId29" Type="http://schemas.openxmlformats.org/officeDocument/2006/relationships/hyperlink" Target="http://www.bia.gov/"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amazonwatch.org/news/2012/1008-under-pressure-conocophillips-withdraws-from-peru" TargetMode="External"/><Relationship Id="rId24" Type="http://schemas.openxmlformats.org/officeDocument/2006/relationships/hyperlink" Target="http://indiancountrytodaymedianetwork.com/2012/10/04/alaska-natives-ambivalent-about-shell-drilling-in-chukchi-sea-torn-between-economic-promise-and-threat-to-indigenous-culture-137125" TargetMode="External"/><Relationship Id="rId32" Type="http://schemas.openxmlformats.org/officeDocument/2006/relationships/hyperlink" Target="http://indigenouspeoplesissues.com/index.php?option=com_content&amp;view=article&amp;id=14711:north-dakota-front-door-stripped-off-mobile-home-as-forced-evictions-reach-new-low-in-bakken-oil-fields&amp;catid=22:north-america-indigenous-peoples&amp;Itemid=55" TargetMode="External"/><Relationship Id="rId37" Type="http://schemas.openxmlformats.org/officeDocument/2006/relationships/hyperlink" Target="http://www.bicusa.org/en/Article.12703.aspx"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hevrontoxico.com/assets/docs/sec-complaint-letters.pdf" TargetMode="External"/><Relationship Id="rId23" Type="http://schemas.openxmlformats.org/officeDocument/2006/relationships/hyperlink" Target="http://www.globalpost.com/dispatch/news/regions/americas/121003/poor-alaskan-village-oil-could-change-everything" TargetMode="External"/><Relationship Id="rId28" Type="http://schemas.openxmlformats.org/officeDocument/2006/relationships/hyperlink" Target="http://www.ndstudies.org/resources/IndianStudies/threeaffiliated/demographics_land.html" TargetMode="External"/><Relationship Id="rId36" Type="http://schemas.openxmlformats.org/officeDocument/2006/relationships/hyperlink" Target="http://www.oxfamamerica.org/" TargetMode="External"/><Relationship Id="rId10" Type="http://schemas.openxmlformats.org/officeDocument/2006/relationships/hyperlink" Target="http://articles.chicagotribune.com/2012-10-05/news/sns-rt-conocoperu-update-1l3e8l5553-20121005_1_conocophillips-exploration-blocks" TargetMode="External"/><Relationship Id="rId19" Type="http://schemas.openxmlformats.org/officeDocument/2006/relationships/hyperlink" Target="http://www.wdlac.com.au/agreements/kintyre-cameco-australia/" TargetMode="External"/><Relationship Id="rId31" Type="http://schemas.openxmlformats.org/officeDocument/2006/relationships/hyperlink" Target="http://www.bia.gov/cs/groups/public/documents/text/idc-022703.pdf" TargetMode="External"/><Relationship Id="rId4" Type="http://schemas.openxmlformats.org/officeDocument/2006/relationships/webSettings" Target="webSettings.xml"/><Relationship Id="rId9" Type="http://schemas.openxmlformats.org/officeDocument/2006/relationships/hyperlink" Target="http://web.parliament.go.th/parcy/sapa_db/cons_doc/constitutions/data/Peru/peru.pdf" TargetMode="External"/><Relationship Id="rId14" Type="http://schemas.openxmlformats.org/officeDocument/2006/relationships/hyperlink" Target="http://www.osc.state.ny.us/press/releases/may12/investor_letter.pdf" TargetMode="External"/><Relationship Id="rId22" Type="http://schemas.openxmlformats.org/officeDocument/2006/relationships/hyperlink" Target="http://wdlac.kittysauce.com/agreements/kintyre-cameco-australia/" TargetMode="External"/><Relationship Id="rId27" Type="http://schemas.openxmlformats.org/officeDocument/2006/relationships/hyperlink" Target="http://cja.org/downloads/CJA%20Backgrounder%20on%20the%20Kiobel%20Case.pdf" TargetMode="External"/><Relationship Id="rId30" Type="http://schemas.openxmlformats.org/officeDocument/2006/relationships/hyperlink" Target="http://bismarcktribune.com/news/opinion/editorial/fort-berthold-mirrors-rest-of-oil-patch/article_924cf028-1217-11e2-a521-001a4bcf887a.html" TargetMode="External"/><Relationship Id="rId35" Type="http://schemas.openxmlformats.org/officeDocument/2006/relationships/hyperlink" Target="http://www.oxfamamerica.org/campaigns/extractive-industries/community-consent-inde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tel:%28540%29%20899-6545"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7DDD4-6691-4985-A896-A81B2A3F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npelosi</dc:creator>
  <cp:keywords/>
  <dc:description/>
  <cp:lastModifiedBy>npelosi</cp:lastModifiedBy>
  <cp:revision>3</cp:revision>
  <dcterms:created xsi:type="dcterms:W3CDTF">2012-11-09T13:07:00Z</dcterms:created>
  <dcterms:modified xsi:type="dcterms:W3CDTF">2012-11-29T14:18:00Z</dcterms:modified>
</cp:coreProperties>
</file>