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A8A" w:rsidRPr="005F4D16" w:rsidRDefault="00121A8A" w:rsidP="00121A8A">
      <w:pPr>
        <w:spacing w:line="360" w:lineRule="auto"/>
        <w:jc w:val="center"/>
        <w:rPr>
          <w:rFonts w:ascii="Times New Roman" w:hAnsi="Times New Roman" w:cs="Times New Roman"/>
          <w:b/>
          <w:sz w:val="36"/>
          <w:szCs w:val="36"/>
        </w:rPr>
      </w:pPr>
      <w:r w:rsidRPr="005F4D16">
        <w:rPr>
          <w:noProof/>
          <w:sz w:val="36"/>
          <w:szCs w:val="36"/>
        </w:rPr>
        <w:drawing>
          <wp:anchor distT="0" distB="0" distL="114300" distR="114300" simplePos="0" relativeHeight="251659264" behindDoc="0" locked="0" layoutInCell="1" allowOverlap="1">
            <wp:simplePos x="0" y="0"/>
            <wp:positionH relativeFrom="column">
              <wp:posOffset>295275</wp:posOffset>
            </wp:positionH>
            <wp:positionV relativeFrom="paragraph">
              <wp:posOffset>-228600</wp:posOffset>
            </wp:positionV>
            <wp:extent cx="933450" cy="1828800"/>
            <wp:effectExtent l="19050" t="0" r="0" b="0"/>
            <wp:wrapNone/>
            <wp:docPr id="3" name="Picture 1" descr="S:\First Peoples Worldwide\Pictures\Graphics\Logo\FINAL black 0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rst Peoples Worldwide\Pictures\Graphics\Logo\FINAL black 03-13-08.jpg"/>
                    <pic:cNvPicPr>
                      <a:picLocks noChangeAspect="1" noChangeArrowheads="1"/>
                    </pic:cNvPicPr>
                  </pic:nvPicPr>
                  <pic:blipFill>
                    <a:blip r:embed="rId6"/>
                    <a:srcRect l="3714" r="78000"/>
                    <a:stretch>
                      <a:fillRect/>
                    </a:stretch>
                  </pic:blipFill>
                  <pic:spPr bwMode="auto">
                    <a:xfrm>
                      <a:off x="0" y="0"/>
                      <a:ext cx="933450" cy="1828800"/>
                    </a:xfrm>
                    <a:prstGeom prst="rect">
                      <a:avLst/>
                    </a:prstGeom>
                    <a:noFill/>
                    <a:ln w="9525">
                      <a:noFill/>
                      <a:miter lim="800000"/>
                      <a:headEnd/>
                      <a:tailEnd/>
                    </a:ln>
                  </pic:spPr>
                </pic:pic>
              </a:graphicData>
            </a:graphic>
          </wp:anchor>
        </w:drawing>
      </w:r>
      <w:r w:rsidRPr="005F4D16">
        <w:rPr>
          <w:rFonts w:ascii="Times New Roman" w:hAnsi="Times New Roman" w:cs="Times New Roman"/>
          <w:b/>
          <w:sz w:val="36"/>
          <w:szCs w:val="36"/>
        </w:rPr>
        <w:t>FIRST PEOPLES WORLDWIDE</w:t>
      </w:r>
    </w:p>
    <w:p w:rsidR="00121A8A" w:rsidRPr="005F4D16" w:rsidRDefault="00121A8A" w:rsidP="00121A8A">
      <w:pPr>
        <w:spacing w:line="360" w:lineRule="auto"/>
        <w:jc w:val="center"/>
        <w:rPr>
          <w:rFonts w:ascii="Times New Roman" w:hAnsi="Times New Roman" w:cs="Times New Roman"/>
          <w:b/>
          <w:sz w:val="36"/>
          <w:szCs w:val="36"/>
        </w:rPr>
      </w:pPr>
      <w:r w:rsidRPr="005F4D16">
        <w:rPr>
          <w:rFonts w:ascii="Times New Roman" w:hAnsi="Times New Roman" w:cs="Times New Roman"/>
          <w:b/>
          <w:sz w:val="36"/>
          <w:szCs w:val="36"/>
        </w:rPr>
        <w:t>CORPORATE MONITOR</w:t>
      </w:r>
    </w:p>
    <w:p w:rsidR="00121A8A" w:rsidRPr="005F4D16" w:rsidRDefault="00121A8A" w:rsidP="00121A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FEBRUARY 2013</w:t>
      </w:r>
    </w:p>
    <w:p w:rsidR="00EA209C" w:rsidRPr="00326296" w:rsidRDefault="00EA209C" w:rsidP="000A72E5">
      <w:pPr>
        <w:spacing w:line="360" w:lineRule="auto"/>
        <w:jc w:val="both"/>
        <w:rPr>
          <w:rFonts w:ascii="Times New Roman" w:hAnsi="Times New Roman" w:cs="Times New Roman"/>
          <w:sz w:val="24"/>
          <w:szCs w:val="24"/>
        </w:rPr>
      </w:pPr>
    </w:p>
    <w:p w:rsidR="00C44C4B" w:rsidRPr="001B2B39" w:rsidRDefault="00C44C4B" w:rsidP="00C44C4B">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Canadian Government Facing Legal Challenges from Idle No More</w:t>
      </w:r>
    </w:p>
    <w:p w:rsidR="00C44C4B" w:rsidRPr="00326296" w:rsidRDefault="00C44C4B" w:rsidP="00C44C4B">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Building upon the momentum </w:t>
      </w:r>
      <w:r w:rsidR="000A647E" w:rsidRPr="00326296">
        <w:rPr>
          <w:rFonts w:ascii="Times New Roman" w:hAnsi="Times New Roman" w:cs="Times New Roman"/>
          <w:sz w:val="24"/>
          <w:szCs w:val="24"/>
        </w:rPr>
        <w:t xml:space="preserve">for Indigenous Peoples' rights </w:t>
      </w:r>
      <w:r w:rsidRPr="00326296">
        <w:rPr>
          <w:rFonts w:ascii="Times New Roman" w:hAnsi="Times New Roman" w:cs="Times New Roman"/>
          <w:sz w:val="24"/>
          <w:szCs w:val="24"/>
        </w:rPr>
        <w:t xml:space="preserve">generated by the Idle No More </w:t>
      </w:r>
      <w:r w:rsidR="000A647E" w:rsidRPr="00326296">
        <w:rPr>
          <w:rFonts w:ascii="Times New Roman" w:hAnsi="Times New Roman" w:cs="Times New Roman"/>
          <w:sz w:val="24"/>
          <w:szCs w:val="24"/>
        </w:rPr>
        <w:t>protests</w:t>
      </w:r>
      <w:r w:rsidRPr="00326296">
        <w:rPr>
          <w:rFonts w:ascii="Times New Roman" w:hAnsi="Times New Roman" w:cs="Times New Roman"/>
          <w:sz w:val="24"/>
          <w:szCs w:val="24"/>
        </w:rPr>
        <w:t>, Canadian First Nations</w:t>
      </w:r>
      <w:r w:rsidR="000A647E" w:rsidRPr="00326296">
        <w:rPr>
          <w:rFonts w:ascii="Times New Roman" w:hAnsi="Times New Roman" w:cs="Times New Roman"/>
          <w:sz w:val="24"/>
          <w:szCs w:val="24"/>
        </w:rPr>
        <w:t xml:space="preserve"> are</w:t>
      </w:r>
      <w:r w:rsidRPr="00326296">
        <w:rPr>
          <w:rFonts w:ascii="Times New Roman" w:hAnsi="Times New Roman" w:cs="Times New Roman"/>
          <w:sz w:val="24"/>
          <w:szCs w:val="24"/>
        </w:rPr>
        <w:t xml:space="preserve"> </w:t>
      </w:r>
      <w:r w:rsidR="000A647E" w:rsidRPr="00326296">
        <w:rPr>
          <w:rFonts w:ascii="Times New Roman" w:hAnsi="Times New Roman" w:cs="Times New Roman"/>
          <w:sz w:val="24"/>
          <w:szCs w:val="24"/>
        </w:rPr>
        <w:t>using</w:t>
      </w:r>
      <w:r w:rsidRPr="00326296">
        <w:rPr>
          <w:rFonts w:ascii="Times New Roman" w:hAnsi="Times New Roman" w:cs="Times New Roman"/>
          <w:sz w:val="24"/>
          <w:szCs w:val="24"/>
        </w:rPr>
        <w:t xml:space="preserve"> both domestic and international legal tactics to usurp their treaty rights.  On January 8, the Frog Lake First Nation and the Mikisew Cree First Nation filed a constitutional challenge to Canada’s </w:t>
      </w:r>
      <w:hyperlink r:id="rId7" w:history="1">
        <w:r w:rsidRPr="00326296">
          <w:rPr>
            <w:rStyle w:val="Hyperlink"/>
            <w:rFonts w:ascii="Times New Roman" w:hAnsi="Times New Roman" w:cs="Times New Roman"/>
            <w:sz w:val="24"/>
            <w:szCs w:val="24"/>
          </w:rPr>
          <w:t>Jobs and Growth Act</w:t>
        </w:r>
      </w:hyperlink>
      <w:r w:rsidRPr="00326296">
        <w:rPr>
          <w:rFonts w:ascii="Times New Roman" w:hAnsi="Times New Roman" w:cs="Times New Roman"/>
          <w:sz w:val="24"/>
          <w:szCs w:val="24"/>
        </w:rPr>
        <w:t xml:space="preserve">, the omnibus budget implementation law that triggered the </w:t>
      </w:r>
      <w:r w:rsidR="000A647E" w:rsidRPr="00326296">
        <w:rPr>
          <w:rFonts w:ascii="Times New Roman" w:hAnsi="Times New Roman" w:cs="Times New Roman"/>
          <w:sz w:val="24"/>
          <w:szCs w:val="24"/>
        </w:rPr>
        <w:t>protests</w:t>
      </w:r>
      <w:r w:rsidRPr="00326296">
        <w:rPr>
          <w:rFonts w:ascii="Times New Roman" w:hAnsi="Times New Roman" w:cs="Times New Roman"/>
          <w:sz w:val="24"/>
          <w:szCs w:val="24"/>
        </w:rPr>
        <w:t xml:space="preserve"> due to its undermining of First Nations’ sovereignty and treaty rights.  </w:t>
      </w:r>
      <w:r w:rsidR="000A647E" w:rsidRPr="00326296">
        <w:rPr>
          <w:rFonts w:ascii="Times New Roman" w:hAnsi="Times New Roman" w:cs="Times New Roman"/>
          <w:sz w:val="24"/>
          <w:szCs w:val="24"/>
        </w:rPr>
        <w:t>T</w:t>
      </w:r>
      <w:r w:rsidRPr="00326296">
        <w:rPr>
          <w:rFonts w:ascii="Times New Roman" w:hAnsi="Times New Roman" w:cs="Times New Roman"/>
          <w:sz w:val="24"/>
          <w:szCs w:val="24"/>
        </w:rPr>
        <w:t>he plaintiffs</w:t>
      </w:r>
      <w:r w:rsidR="000A647E" w:rsidRPr="00326296">
        <w:rPr>
          <w:rFonts w:ascii="Times New Roman" w:hAnsi="Times New Roman" w:cs="Times New Roman"/>
          <w:sz w:val="24"/>
          <w:szCs w:val="24"/>
        </w:rPr>
        <w:t xml:space="preserve"> are arguing that</w:t>
      </w:r>
      <w:r w:rsidRPr="00326296">
        <w:rPr>
          <w:rFonts w:ascii="Times New Roman" w:hAnsi="Times New Roman" w:cs="Times New Roman"/>
          <w:sz w:val="24"/>
          <w:szCs w:val="24"/>
        </w:rPr>
        <w:t xml:space="preserve"> the Canadian government knew of the law’s adverse impacts on First Nations but did not consult with them, thus breaching its constitutional obligation to do so.</w:t>
      </w:r>
    </w:p>
    <w:p w:rsidR="00C44C4B" w:rsidRPr="00326296" w:rsidRDefault="00C44C4B" w:rsidP="00C44C4B">
      <w:pPr>
        <w:spacing w:line="360" w:lineRule="auto"/>
        <w:jc w:val="both"/>
        <w:rPr>
          <w:rFonts w:ascii="Times New Roman" w:hAnsi="Times New Roman" w:cs="Times New Roman"/>
          <w:sz w:val="24"/>
          <w:szCs w:val="24"/>
        </w:rPr>
      </w:pPr>
      <w:bookmarkStart w:id="0" w:name="_GoBack"/>
      <w:r w:rsidRPr="00326296">
        <w:rPr>
          <w:rFonts w:ascii="Times New Roman" w:hAnsi="Times New Roman" w:cs="Times New Roman"/>
          <w:sz w:val="24"/>
          <w:szCs w:val="24"/>
        </w:rPr>
        <w:t xml:space="preserve">On February 18, the </w:t>
      </w:r>
      <w:hyperlink r:id="rId8" w:history="1">
        <w:r w:rsidRPr="00326296">
          <w:rPr>
            <w:rStyle w:val="Hyperlink"/>
            <w:rFonts w:ascii="Times New Roman" w:hAnsi="Times New Roman" w:cs="Times New Roman"/>
            <w:sz w:val="24"/>
            <w:szCs w:val="24"/>
          </w:rPr>
          <w:t>International Indian Treaty Council</w:t>
        </w:r>
      </w:hyperlink>
      <w:r w:rsidRPr="00326296">
        <w:rPr>
          <w:rFonts w:ascii="Times New Roman" w:hAnsi="Times New Roman" w:cs="Times New Roman"/>
          <w:sz w:val="24"/>
          <w:szCs w:val="24"/>
        </w:rPr>
        <w:t xml:space="preserve"> and </w:t>
      </w:r>
      <w:r w:rsidR="000A647E" w:rsidRPr="00326296">
        <w:rPr>
          <w:rFonts w:ascii="Times New Roman" w:hAnsi="Times New Roman" w:cs="Times New Roman"/>
          <w:sz w:val="24"/>
          <w:szCs w:val="24"/>
        </w:rPr>
        <w:t>Attawapiskat First Nation Chief Theresa Spence</w:t>
      </w:r>
      <w:r w:rsidRPr="00326296">
        <w:rPr>
          <w:rFonts w:ascii="Times New Roman" w:hAnsi="Times New Roman" w:cs="Times New Roman"/>
          <w:sz w:val="24"/>
          <w:szCs w:val="24"/>
        </w:rPr>
        <w:t xml:space="preserve"> </w:t>
      </w:r>
      <w:r w:rsidR="000A647E" w:rsidRPr="00326296">
        <w:rPr>
          <w:rFonts w:ascii="Times New Roman" w:hAnsi="Times New Roman" w:cs="Times New Roman"/>
          <w:sz w:val="24"/>
          <w:szCs w:val="24"/>
        </w:rPr>
        <w:t xml:space="preserve">(whose high-profile hunger strike prompted Canadian Prime Minister Stephen Harper to meet with First Nations chiefs) </w:t>
      </w:r>
      <w:r w:rsidRPr="00326296">
        <w:rPr>
          <w:rFonts w:ascii="Times New Roman" w:hAnsi="Times New Roman" w:cs="Times New Roman"/>
          <w:sz w:val="24"/>
          <w:szCs w:val="24"/>
        </w:rPr>
        <w:t xml:space="preserve">filed a similar </w:t>
      </w:r>
      <w:r w:rsidR="000A647E" w:rsidRPr="00326296">
        <w:rPr>
          <w:rFonts w:ascii="Times New Roman" w:hAnsi="Times New Roman" w:cs="Times New Roman"/>
          <w:sz w:val="24"/>
          <w:szCs w:val="24"/>
        </w:rPr>
        <w:t xml:space="preserve">motion </w:t>
      </w:r>
      <w:r w:rsidRPr="00326296">
        <w:rPr>
          <w:rFonts w:ascii="Times New Roman" w:hAnsi="Times New Roman" w:cs="Times New Roman"/>
          <w:sz w:val="24"/>
          <w:szCs w:val="24"/>
        </w:rPr>
        <w:t xml:space="preserve">under the </w:t>
      </w:r>
      <w:hyperlink r:id="rId9" w:history="1">
        <w:r w:rsidRPr="00326296">
          <w:rPr>
            <w:rStyle w:val="Hyperlink"/>
            <w:rFonts w:ascii="Times New Roman" w:hAnsi="Times New Roman" w:cs="Times New Roman"/>
            <w:sz w:val="24"/>
            <w:szCs w:val="24"/>
          </w:rPr>
          <w:t>UN Committee on the Elimination of Racial Discrimination</w:t>
        </w:r>
      </w:hyperlink>
      <w:r w:rsidRPr="00326296">
        <w:rPr>
          <w:rFonts w:ascii="Times New Roman" w:hAnsi="Times New Roman" w:cs="Times New Roman"/>
          <w:sz w:val="24"/>
          <w:szCs w:val="24"/>
        </w:rPr>
        <w:t xml:space="preserve"> (CERD).  The motion accused the Canad</w:t>
      </w:r>
      <w:r w:rsidR="000A647E" w:rsidRPr="00326296">
        <w:rPr>
          <w:rFonts w:ascii="Times New Roman" w:hAnsi="Times New Roman" w:cs="Times New Roman"/>
          <w:sz w:val="24"/>
          <w:szCs w:val="24"/>
        </w:rPr>
        <w:t>i</w:t>
      </w:r>
      <w:r w:rsidRPr="00326296">
        <w:rPr>
          <w:rFonts w:ascii="Times New Roman" w:hAnsi="Times New Roman" w:cs="Times New Roman"/>
          <w:sz w:val="24"/>
          <w:szCs w:val="24"/>
        </w:rPr>
        <w:t>a</w:t>
      </w:r>
      <w:r w:rsidR="000A647E" w:rsidRPr="00326296">
        <w:rPr>
          <w:rFonts w:ascii="Times New Roman" w:hAnsi="Times New Roman" w:cs="Times New Roman"/>
          <w:sz w:val="24"/>
          <w:szCs w:val="24"/>
        </w:rPr>
        <w:t>n</w:t>
      </w:r>
      <w:r w:rsidRPr="00326296">
        <w:rPr>
          <w:rFonts w:ascii="Times New Roman" w:hAnsi="Times New Roman" w:cs="Times New Roman"/>
          <w:sz w:val="24"/>
          <w:szCs w:val="24"/>
        </w:rPr>
        <w:t xml:space="preserve"> government of violating its treaty obligations to both First Nations and the legally-binding </w:t>
      </w:r>
      <w:hyperlink r:id="rId10" w:history="1">
        <w:r w:rsidRPr="00326296">
          <w:rPr>
            <w:rStyle w:val="Hyperlink"/>
            <w:rFonts w:ascii="Times New Roman" w:hAnsi="Times New Roman" w:cs="Times New Roman"/>
            <w:sz w:val="24"/>
            <w:szCs w:val="24"/>
          </w:rPr>
          <w:t>International Convention on the Elimination of all Forms of Racial Discrimination.</w:t>
        </w:r>
      </w:hyperlink>
      <w:r w:rsidRPr="00326296">
        <w:rPr>
          <w:rFonts w:ascii="Times New Roman" w:hAnsi="Times New Roman" w:cs="Times New Roman"/>
          <w:sz w:val="24"/>
          <w:szCs w:val="24"/>
        </w:rPr>
        <w:t xml:space="preserve">  The motion also addresses the lack of clean water and adequate housing on </w:t>
      </w:r>
      <w:r w:rsidR="000A647E" w:rsidRPr="00326296">
        <w:rPr>
          <w:rFonts w:ascii="Times New Roman" w:hAnsi="Times New Roman" w:cs="Times New Roman"/>
          <w:sz w:val="24"/>
          <w:szCs w:val="24"/>
        </w:rPr>
        <w:t>First Nations</w:t>
      </w:r>
      <w:r w:rsidRPr="00326296">
        <w:rPr>
          <w:rFonts w:ascii="Times New Roman" w:hAnsi="Times New Roman" w:cs="Times New Roman"/>
          <w:sz w:val="24"/>
          <w:szCs w:val="24"/>
        </w:rPr>
        <w:t xml:space="preserve"> reservation, both of which have been </w:t>
      </w:r>
      <w:r w:rsidR="000A647E" w:rsidRPr="00326296">
        <w:rPr>
          <w:rFonts w:ascii="Times New Roman" w:hAnsi="Times New Roman" w:cs="Times New Roman"/>
          <w:sz w:val="24"/>
          <w:szCs w:val="24"/>
        </w:rPr>
        <w:t>brought before</w:t>
      </w:r>
      <w:r w:rsidRPr="00326296">
        <w:rPr>
          <w:rFonts w:ascii="Times New Roman" w:hAnsi="Times New Roman" w:cs="Times New Roman"/>
          <w:sz w:val="24"/>
          <w:szCs w:val="24"/>
        </w:rPr>
        <w:t xml:space="preserve"> CERD before.</w:t>
      </w:r>
      <w:r w:rsidR="000A647E" w:rsidRPr="00326296">
        <w:rPr>
          <w:rFonts w:ascii="Times New Roman" w:hAnsi="Times New Roman" w:cs="Times New Roman"/>
          <w:sz w:val="24"/>
          <w:szCs w:val="24"/>
        </w:rPr>
        <w:t xml:space="preserve">  In March 2012, CERD asked the Canadian government to provide a report within one year about its "progress and results" in addressing these issues.</w:t>
      </w:r>
    </w:p>
    <w:bookmarkEnd w:id="0"/>
    <w:p w:rsidR="000A647E" w:rsidRPr="00326296" w:rsidRDefault="00C44C4B" w:rsidP="00C44C4B">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11" w:history="1">
        <w:r w:rsidRPr="00326296">
          <w:rPr>
            <w:rStyle w:val="Hyperlink"/>
            <w:rFonts w:ascii="Times New Roman" w:hAnsi="Times New Roman" w:cs="Times New Roman"/>
            <w:sz w:val="24"/>
            <w:szCs w:val="24"/>
          </w:rPr>
          <w:t>Supra Law News</w:t>
        </w:r>
      </w:hyperlink>
      <w:r w:rsidR="000A647E" w:rsidRPr="00326296">
        <w:rPr>
          <w:rStyle w:val="Hyperlink"/>
          <w:rFonts w:ascii="Times New Roman" w:hAnsi="Times New Roman" w:cs="Times New Roman"/>
          <w:sz w:val="24"/>
          <w:szCs w:val="24"/>
        </w:rPr>
        <w:t>,</w:t>
      </w:r>
      <w:r w:rsidR="000A647E" w:rsidRPr="00326296">
        <w:rPr>
          <w:rFonts w:ascii="Times New Roman" w:hAnsi="Times New Roman" w:cs="Times New Roman"/>
          <w:sz w:val="24"/>
          <w:szCs w:val="24"/>
        </w:rPr>
        <w:t xml:space="preserve"> </w:t>
      </w:r>
      <w:hyperlink r:id="rId12" w:history="1">
        <w:r w:rsidR="000A647E" w:rsidRPr="00326296">
          <w:rPr>
            <w:rStyle w:val="Hyperlink"/>
            <w:rFonts w:ascii="Times New Roman" w:hAnsi="Times New Roman" w:cs="Times New Roman"/>
            <w:sz w:val="24"/>
            <w:szCs w:val="24"/>
          </w:rPr>
          <w:t>Indian Country Today</w:t>
        </w:r>
      </w:hyperlink>
    </w:p>
    <w:p w:rsidR="001B2B39" w:rsidRDefault="001B2B39" w:rsidP="00C44C4B">
      <w:pPr>
        <w:spacing w:line="360" w:lineRule="auto"/>
        <w:jc w:val="both"/>
        <w:rPr>
          <w:rFonts w:ascii="Times New Roman" w:hAnsi="Times New Roman" w:cs="Times New Roman"/>
          <w:b/>
          <w:sz w:val="24"/>
          <w:szCs w:val="24"/>
        </w:rPr>
      </w:pPr>
    </w:p>
    <w:p w:rsidR="001B2B39" w:rsidRDefault="001B2B39" w:rsidP="00C44C4B">
      <w:pPr>
        <w:spacing w:line="360" w:lineRule="auto"/>
        <w:jc w:val="both"/>
        <w:rPr>
          <w:rFonts w:ascii="Times New Roman" w:hAnsi="Times New Roman" w:cs="Times New Roman"/>
          <w:b/>
          <w:sz w:val="24"/>
          <w:szCs w:val="24"/>
        </w:rPr>
      </w:pPr>
    </w:p>
    <w:p w:rsidR="00C44C4B" w:rsidRPr="001B2B39" w:rsidRDefault="00C44C4B" w:rsidP="00C44C4B">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 xml:space="preserve">Balancing </w:t>
      </w:r>
      <w:r w:rsidR="00F21F53" w:rsidRPr="001B2B39">
        <w:rPr>
          <w:rFonts w:ascii="Times New Roman" w:hAnsi="Times New Roman" w:cs="Times New Roman"/>
          <w:b/>
          <w:sz w:val="28"/>
          <w:szCs w:val="28"/>
        </w:rPr>
        <w:t>Economic and Social Development</w:t>
      </w:r>
    </w:p>
    <w:p w:rsidR="000A647E" w:rsidRPr="00326296" w:rsidRDefault="000A647E" w:rsidP="00C44C4B">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In January 2013, at least a dozen people were injured in clashes between police and members of a Quechua community at Candente Copper Corporation's Canariaco Mine in northwestern Peru.  </w:t>
      </w:r>
      <w:r w:rsidR="00C44C4B" w:rsidRPr="00326296">
        <w:rPr>
          <w:rFonts w:ascii="Times New Roman" w:hAnsi="Times New Roman" w:cs="Times New Roman"/>
          <w:sz w:val="24"/>
          <w:szCs w:val="24"/>
        </w:rPr>
        <w:t xml:space="preserve">The Peruvian government admits to over 200 conflicts between mining companies and Indigenous communities in the country, many of which turn violent. </w:t>
      </w:r>
      <w:r w:rsidRPr="00326296">
        <w:rPr>
          <w:rFonts w:ascii="Times New Roman" w:hAnsi="Times New Roman" w:cs="Times New Roman"/>
          <w:sz w:val="24"/>
          <w:szCs w:val="24"/>
        </w:rPr>
        <w:t xml:space="preserve"> T</w:t>
      </w:r>
      <w:r w:rsidR="00C44C4B" w:rsidRPr="00326296">
        <w:rPr>
          <w:rFonts w:ascii="Times New Roman" w:hAnsi="Times New Roman" w:cs="Times New Roman"/>
          <w:sz w:val="24"/>
          <w:szCs w:val="24"/>
        </w:rPr>
        <w:t>he Peruvian government’s plans to auction Indigenous territory for oil development in early 201</w:t>
      </w:r>
      <w:r w:rsidRPr="00326296">
        <w:rPr>
          <w:rFonts w:ascii="Times New Roman" w:hAnsi="Times New Roman" w:cs="Times New Roman"/>
          <w:sz w:val="24"/>
          <w:szCs w:val="24"/>
        </w:rPr>
        <w:t>3 will only further exacerbate these conflicts.</w:t>
      </w:r>
    </w:p>
    <w:p w:rsidR="00C44C4B" w:rsidRPr="00326296" w:rsidRDefault="00C44C4B" w:rsidP="00C44C4B">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The civil unrest spurred by development presents a challenge to Peruvian President Ollanta Humala, who was elected on a social democratic platform that pledged support for communities in such disputes.  </w:t>
      </w:r>
      <w:r w:rsidR="00F21F53" w:rsidRPr="00326296">
        <w:rPr>
          <w:rFonts w:ascii="Times New Roman" w:hAnsi="Times New Roman" w:cs="Times New Roman"/>
          <w:sz w:val="24"/>
          <w:szCs w:val="24"/>
        </w:rPr>
        <w:t>T</w:t>
      </w:r>
      <w:r w:rsidRPr="00326296">
        <w:rPr>
          <w:rFonts w:ascii="Times New Roman" w:hAnsi="Times New Roman" w:cs="Times New Roman"/>
          <w:sz w:val="24"/>
          <w:szCs w:val="24"/>
        </w:rPr>
        <w:t xml:space="preserve">he social programs promised by Humala’s administration depend on revenue generated from mining and oil development.  In August 2011, Ollanta addressed this challenge by passing a law requiring consultation with Indigenous Peoples </w:t>
      </w:r>
      <w:r w:rsidR="002A692F" w:rsidRPr="00326296">
        <w:rPr>
          <w:rFonts w:ascii="Times New Roman" w:hAnsi="Times New Roman" w:cs="Times New Roman"/>
          <w:sz w:val="24"/>
          <w:szCs w:val="24"/>
        </w:rPr>
        <w:t>affected by</w:t>
      </w:r>
      <w:r w:rsidRPr="00326296">
        <w:rPr>
          <w:rFonts w:ascii="Times New Roman" w:hAnsi="Times New Roman" w:cs="Times New Roman"/>
          <w:sz w:val="24"/>
          <w:szCs w:val="24"/>
        </w:rPr>
        <w:t xml:space="preserve"> </w:t>
      </w:r>
      <w:r w:rsidR="002A692F" w:rsidRPr="00326296">
        <w:rPr>
          <w:rFonts w:ascii="Times New Roman" w:hAnsi="Times New Roman" w:cs="Times New Roman"/>
          <w:sz w:val="24"/>
          <w:szCs w:val="24"/>
        </w:rPr>
        <w:t>development, claiming the reduction in social conflict would spur foreign investment</w:t>
      </w:r>
      <w:r w:rsidRPr="00326296">
        <w:rPr>
          <w:rFonts w:ascii="Times New Roman" w:hAnsi="Times New Roman" w:cs="Times New Roman"/>
          <w:sz w:val="24"/>
          <w:szCs w:val="24"/>
        </w:rPr>
        <w:t>.  Indigenous organizations declared that for the consultations to be effective, their decisions must be respected.</w:t>
      </w:r>
    </w:p>
    <w:p w:rsidR="002A692F" w:rsidRPr="00326296" w:rsidRDefault="002A692F" w:rsidP="00C44C4B">
      <w:pPr>
        <w:spacing w:line="360" w:lineRule="auto"/>
        <w:jc w:val="both"/>
        <w:rPr>
          <w:rFonts w:ascii="Times New Roman" w:hAnsi="Times New Roman" w:cs="Times New Roman"/>
          <w:sz w:val="24"/>
          <w:szCs w:val="24"/>
        </w:rPr>
      </w:pPr>
      <w:r w:rsidRPr="00326296">
        <w:rPr>
          <w:rFonts w:ascii="Times New Roman" w:hAnsi="Times New Roman" w:cs="Times New Roman"/>
          <w:color w:val="1E1611"/>
          <w:sz w:val="24"/>
          <w:szCs w:val="24"/>
        </w:rPr>
        <w:t xml:space="preserve">The delicate balance between economic development and Indigenous Peoples’ rights in Peru poses both risks and opportunities for companies operating in the country.  </w:t>
      </w:r>
      <w:r w:rsidRPr="00326296">
        <w:rPr>
          <w:rFonts w:ascii="Times New Roman" w:hAnsi="Times New Roman" w:cs="Times New Roman"/>
          <w:sz w:val="24"/>
          <w:szCs w:val="24"/>
        </w:rPr>
        <w:t xml:space="preserve">If conflicts with Indigenous Peoples continue to jeopardize the viability of an industry so crucial to Peru’s growth, the country may enact tighter regulations and restrictions on companies that fail to respect Indigenous Peoples’ rights.  </w:t>
      </w:r>
      <w:r w:rsidRPr="00326296">
        <w:rPr>
          <w:rFonts w:ascii="Times New Roman" w:hAnsi="Times New Roman" w:cs="Times New Roman"/>
          <w:color w:val="1E1611"/>
          <w:sz w:val="24"/>
          <w:szCs w:val="24"/>
        </w:rPr>
        <w:t>On the other hand, companies developing best practices towards Indigenous Peoples can take advantage of the country’s desire to prioritize both economic and social development.</w:t>
      </w:r>
    </w:p>
    <w:p w:rsidR="00C44C4B" w:rsidRPr="00326296" w:rsidRDefault="00C44C4B" w:rsidP="00C44C4B">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13" w:anchor="axzz2KIYCoiTm" w:history="1">
        <w:r w:rsidRPr="00326296">
          <w:rPr>
            <w:rStyle w:val="Hyperlink"/>
            <w:rFonts w:ascii="Times New Roman" w:hAnsi="Times New Roman" w:cs="Times New Roman"/>
            <w:sz w:val="24"/>
            <w:szCs w:val="24"/>
          </w:rPr>
          <w:t>Financial Times</w:t>
        </w:r>
      </w:hyperlink>
      <w:r w:rsidRPr="00326296">
        <w:rPr>
          <w:rFonts w:ascii="Times New Roman" w:hAnsi="Times New Roman" w:cs="Times New Roman"/>
          <w:sz w:val="24"/>
          <w:szCs w:val="24"/>
        </w:rPr>
        <w:t xml:space="preserve">, </w:t>
      </w:r>
      <w:hyperlink r:id="rId14" w:history="1">
        <w:r w:rsidRPr="00326296">
          <w:rPr>
            <w:rStyle w:val="Hyperlink"/>
            <w:rFonts w:ascii="Times New Roman" w:hAnsi="Times New Roman" w:cs="Times New Roman"/>
            <w:sz w:val="24"/>
            <w:szCs w:val="24"/>
          </w:rPr>
          <w:t>International Press Service</w:t>
        </w:r>
      </w:hyperlink>
    </w:p>
    <w:p w:rsidR="00C17173" w:rsidRPr="001B2B39" w:rsidRDefault="00F21F53" w:rsidP="000A72E5">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The Risks of Transitioning from Communal to Private Property</w:t>
      </w:r>
    </w:p>
    <w:p w:rsidR="00F77183" w:rsidRPr="00326296" w:rsidRDefault="00F77183" w:rsidP="000A72E5">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Since June 2012, Indigenous Peoples in Cambodia have accepted over 100,000 private land ownership titles from the Cambodian government, in order to protect their territories from land developers and speculators.  In doing so, they are abandoning ancient traditions of communal living.  The land plots that community members receive are typically no larger than 1 hectare, preventing them from planting and harvesting crops on larger, rotating land tracts, as their ancestors did for centuries.  The discontinuation of this sustainable farming technique may pose risks to food security and generate economic inequalities among individuals.  There is also concern that community members, many of whom</w:t>
      </w:r>
      <w:r w:rsidR="002A692F" w:rsidRPr="00326296">
        <w:rPr>
          <w:rFonts w:ascii="Times New Roman" w:hAnsi="Times New Roman" w:cs="Times New Roman"/>
          <w:sz w:val="24"/>
          <w:szCs w:val="24"/>
        </w:rPr>
        <w:t xml:space="preserve"> are in debt</w:t>
      </w:r>
      <w:r w:rsidRPr="00326296">
        <w:rPr>
          <w:rFonts w:ascii="Times New Roman" w:hAnsi="Times New Roman" w:cs="Times New Roman"/>
          <w:sz w:val="24"/>
          <w:szCs w:val="24"/>
        </w:rPr>
        <w:t>, will sell their land plots to pay off their debt, leaving them landless.</w:t>
      </w:r>
    </w:p>
    <w:p w:rsidR="00F77183" w:rsidRPr="00326296" w:rsidRDefault="002A692F" w:rsidP="000A72E5">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M</w:t>
      </w:r>
      <w:r w:rsidR="00F77183" w:rsidRPr="00326296">
        <w:rPr>
          <w:rFonts w:ascii="Times New Roman" w:hAnsi="Times New Roman" w:cs="Times New Roman"/>
          <w:sz w:val="24"/>
          <w:szCs w:val="24"/>
        </w:rPr>
        <w:t xml:space="preserve">any Indigenous communities live and utilize resources collectively, and transitioning to private land ownership can jeopardize their economic security and cultural integrity.  When providing compensation for resources that are collectively owned, companies should ensure that the benefits of these communal economic systems </w:t>
      </w:r>
      <w:r w:rsidRPr="00326296">
        <w:rPr>
          <w:rFonts w:ascii="Times New Roman" w:hAnsi="Times New Roman" w:cs="Times New Roman"/>
          <w:sz w:val="24"/>
          <w:szCs w:val="24"/>
        </w:rPr>
        <w:t>are preserved.</w:t>
      </w:r>
    </w:p>
    <w:p w:rsidR="00F77183" w:rsidRPr="00326296" w:rsidRDefault="00F77183" w:rsidP="000A72E5">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15" w:history="1">
        <w:r w:rsidRPr="00326296">
          <w:rPr>
            <w:rStyle w:val="Hyperlink"/>
            <w:rFonts w:ascii="Times New Roman" w:hAnsi="Times New Roman" w:cs="Times New Roman"/>
            <w:sz w:val="24"/>
            <w:szCs w:val="24"/>
          </w:rPr>
          <w:t>Cambodia Daily</w:t>
        </w:r>
      </w:hyperlink>
    </w:p>
    <w:p w:rsidR="00F21F53" w:rsidRPr="001B2B39" w:rsidRDefault="00F21F53" w:rsidP="00F21F53">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Ethiopian Dam Threatens Indigenous Livelihoods</w:t>
      </w:r>
    </w:p>
    <w:p w:rsidR="00F21F53" w:rsidRPr="00326296" w:rsidRDefault="00AD17CE"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The </w:t>
      </w:r>
      <w:r w:rsidR="00F21F53" w:rsidRPr="00326296">
        <w:rPr>
          <w:rFonts w:ascii="Times New Roman" w:hAnsi="Times New Roman" w:cs="Times New Roman"/>
          <w:sz w:val="24"/>
          <w:szCs w:val="24"/>
        </w:rPr>
        <w:t xml:space="preserve">Gilgel Gibe 3 Dam, currently under construction in Ethiopia’s Omo River, is expected to </w:t>
      </w:r>
      <w:r w:rsidRPr="00326296">
        <w:rPr>
          <w:rFonts w:ascii="Times New Roman" w:hAnsi="Times New Roman" w:cs="Times New Roman"/>
          <w:sz w:val="24"/>
          <w:szCs w:val="24"/>
        </w:rPr>
        <w:t xml:space="preserve">double Ethiopia's electrical output while </w:t>
      </w:r>
      <w:r w:rsidR="00F21F53" w:rsidRPr="00326296">
        <w:rPr>
          <w:rFonts w:ascii="Times New Roman" w:hAnsi="Times New Roman" w:cs="Times New Roman"/>
          <w:sz w:val="24"/>
          <w:szCs w:val="24"/>
        </w:rPr>
        <w:t>negatively impact</w:t>
      </w:r>
      <w:r w:rsidRPr="00326296">
        <w:rPr>
          <w:rFonts w:ascii="Times New Roman" w:hAnsi="Times New Roman" w:cs="Times New Roman"/>
          <w:sz w:val="24"/>
          <w:szCs w:val="24"/>
        </w:rPr>
        <w:t>ing</w:t>
      </w:r>
      <w:r w:rsidR="00F21F53" w:rsidRPr="00326296">
        <w:rPr>
          <w:rFonts w:ascii="Times New Roman" w:hAnsi="Times New Roman" w:cs="Times New Roman"/>
          <w:sz w:val="24"/>
          <w:szCs w:val="24"/>
        </w:rPr>
        <w:t xml:space="preserve"> an estimated 500,000 Indigenous Peoples. </w:t>
      </w:r>
      <w:r w:rsidRPr="00326296">
        <w:rPr>
          <w:rFonts w:ascii="Times New Roman" w:hAnsi="Times New Roman" w:cs="Times New Roman"/>
          <w:sz w:val="24"/>
          <w:szCs w:val="24"/>
        </w:rPr>
        <w:t xml:space="preserve"> </w:t>
      </w:r>
      <w:r w:rsidR="00F21F53" w:rsidRPr="00326296">
        <w:rPr>
          <w:rFonts w:ascii="Times New Roman" w:hAnsi="Times New Roman" w:cs="Times New Roman"/>
          <w:sz w:val="24"/>
          <w:szCs w:val="24"/>
        </w:rPr>
        <w:t>Communities in the Omo Valley practice a sophisticated system of flood-retreat agriculture and seasonal grazing that allows them to gain subsistence with minimal environmental impacts and coexist with Ethiopia’s large wildlife population.  The dam will compromise the agricultural productivity of the communities’ land by curtailing the Omo River’s annual floods.  The dam will also disrupt the flood cycles and increase the salinity levels of Lake Turkana in neighboring Kenya, to which the Omo River is a tributary.</w:t>
      </w:r>
    </w:p>
    <w:p w:rsidR="001B2B39" w:rsidRDefault="00AD17CE"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The Ethiopian government</w:t>
      </w:r>
      <w:r w:rsidR="00F21F53" w:rsidRPr="00326296">
        <w:rPr>
          <w:rFonts w:ascii="Times New Roman" w:hAnsi="Times New Roman" w:cs="Times New Roman"/>
          <w:sz w:val="24"/>
          <w:szCs w:val="24"/>
        </w:rPr>
        <w:t xml:space="preserve"> announced plans to release annual controlled floods that will “fully compensate” for the loss of natural floods.  An independent study commissioned by the </w:t>
      </w:r>
      <w:hyperlink r:id="rId16" w:history="1">
        <w:r w:rsidR="00F21F53" w:rsidRPr="00326296">
          <w:rPr>
            <w:rStyle w:val="Hyperlink"/>
            <w:rFonts w:ascii="Times New Roman" w:hAnsi="Times New Roman" w:cs="Times New Roman"/>
            <w:sz w:val="24"/>
            <w:szCs w:val="24"/>
          </w:rPr>
          <w:t>European Investment Bank</w:t>
        </w:r>
      </w:hyperlink>
      <w:r w:rsidR="00F21F53" w:rsidRPr="00326296">
        <w:rPr>
          <w:rFonts w:ascii="Times New Roman" w:hAnsi="Times New Roman" w:cs="Times New Roman"/>
          <w:sz w:val="24"/>
          <w:szCs w:val="24"/>
        </w:rPr>
        <w:t xml:space="preserve"> (EIB), which considered funding the dam, concluded that the controlled floods were planned without an adequate assessment of the problems they are intended to solve or their likely effectiveness.  The EIB chose not to fund the dam in 2010, but claimed the decision was based on the Ethiopian government’s obtainment of alternative financing sources, rather than the results of social or environmental impact studies.</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17" w:history="1">
        <w:r w:rsidRPr="00326296">
          <w:rPr>
            <w:rStyle w:val="Hyperlink"/>
            <w:rFonts w:ascii="Times New Roman" w:hAnsi="Times New Roman" w:cs="Times New Roman"/>
            <w:sz w:val="24"/>
            <w:szCs w:val="24"/>
          </w:rPr>
          <w:t>International Rivers</w:t>
        </w:r>
      </w:hyperlink>
      <w:r w:rsidRPr="00326296">
        <w:rPr>
          <w:rFonts w:ascii="Times New Roman" w:hAnsi="Times New Roman" w:cs="Times New Roman"/>
          <w:sz w:val="24"/>
          <w:szCs w:val="24"/>
        </w:rPr>
        <w:t xml:space="preserve">, </w:t>
      </w:r>
      <w:hyperlink r:id="rId18" w:history="1">
        <w:r w:rsidRPr="00326296">
          <w:rPr>
            <w:rStyle w:val="Hyperlink"/>
            <w:rFonts w:ascii="Times New Roman" w:hAnsi="Times New Roman" w:cs="Times New Roman"/>
            <w:sz w:val="24"/>
            <w:szCs w:val="24"/>
          </w:rPr>
          <w:t>European Investment Bank</w:t>
        </w:r>
      </w:hyperlink>
      <w:r w:rsidRPr="00326296">
        <w:rPr>
          <w:rFonts w:ascii="Times New Roman" w:hAnsi="Times New Roman" w:cs="Times New Roman"/>
          <w:sz w:val="24"/>
          <w:szCs w:val="24"/>
        </w:rPr>
        <w:t xml:space="preserve">, </w:t>
      </w:r>
      <w:hyperlink r:id="rId19" w:history="1">
        <w:r w:rsidRPr="00326296">
          <w:rPr>
            <w:rStyle w:val="Hyperlink"/>
            <w:rFonts w:ascii="Times New Roman" w:hAnsi="Times New Roman" w:cs="Times New Roman"/>
            <w:sz w:val="24"/>
            <w:szCs w:val="24"/>
          </w:rPr>
          <w:t>National Geographic</w:t>
        </w:r>
      </w:hyperlink>
      <w:r w:rsidRPr="00326296">
        <w:rPr>
          <w:rFonts w:ascii="Times New Roman" w:hAnsi="Times New Roman" w:cs="Times New Roman"/>
          <w:sz w:val="24"/>
          <w:szCs w:val="24"/>
        </w:rPr>
        <w:t xml:space="preserve">, </w:t>
      </w:r>
      <w:hyperlink r:id="rId20" w:history="1">
        <w:r w:rsidRPr="00326296">
          <w:rPr>
            <w:rStyle w:val="Hyperlink"/>
            <w:rFonts w:ascii="Times New Roman" w:hAnsi="Times New Roman" w:cs="Times New Roman"/>
            <w:sz w:val="24"/>
            <w:szCs w:val="24"/>
          </w:rPr>
          <w:t>The Guardian</w:t>
        </w:r>
      </w:hyperlink>
    </w:p>
    <w:p w:rsidR="00F21F53" w:rsidRPr="001B2B39" w:rsidRDefault="00F21F53" w:rsidP="00F21F53">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African Development Bank Addresses Indigenous Issues</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On February 12, the </w:t>
      </w:r>
      <w:hyperlink r:id="rId21" w:history="1">
        <w:r w:rsidRPr="00326296">
          <w:rPr>
            <w:rStyle w:val="Hyperlink"/>
            <w:rFonts w:ascii="Times New Roman" w:hAnsi="Times New Roman" w:cs="Times New Roman"/>
            <w:sz w:val="24"/>
            <w:szCs w:val="24"/>
          </w:rPr>
          <w:t>African Development Bank</w:t>
        </w:r>
      </w:hyperlink>
      <w:r w:rsidRPr="00326296">
        <w:rPr>
          <w:rFonts w:ascii="Times New Roman" w:hAnsi="Times New Roman" w:cs="Times New Roman"/>
          <w:sz w:val="24"/>
          <w:szCs w:val="24"/>
        </w:rPr>
        <w:t xml:space="preserve"> (ADB) hosted a forum to discuss how Indigenous Peoples’ rights and interests can be integrated into the bank’s policies and development initiatives.  The forum’s speakers discussed the challenges faced by African governments in addressing the unique economic needs for each of the diverse communities within their countries, and emphasized the need to view Indigenous Peoples as equitable partners, rather than victims, in development.</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The ADB’s social and environmental safeguards differ from those of the </w:t>
      </w:r>
      <w:hyperlink r:id="rId22" w:history="1">
        <w:r w:rsidRPr="00326296">
          <w:rPr>
            <w:rStyle w:val="Hyperlink"/>
            <w:rFonts w:ascii="Times New Roman" w:hAnsi="Times New Roman" w:cs="Times New Roman"/>
            <w:sz w:val="24"/>
            <w:szCs w:val="24"/>
          </w:rPr>
          <w:t>World Bank</w:t>
        </w:r>
      </w:hyperlink>
      <w:r w:rsidRPr="00326296">
        <w:rPr>
          <w:rFonts w:ascii="Times New Roman" w:hAnsi="Times New Roman" w:cs="Times New Roman"/>
          <w:sz w:val="24"/>
          <w:szCs w:val="24"/>
        </w:rPr>
        <w:t xml:space="preserve">, the </w:t>
      </w:r>
      <w:hyperlink r:id="rId23" w:history="1">
        <w:r w:rsidR="00AD17CE" w:rsidRPr="00326296">
          <w:rPr>
            <w:rStyle w:val="Hyperlink"/>
            <w:rFonts w:ascii="Times New Roman" w:hAnsi="Times New Roman" w:cs="Times New Roman"/>
            <w:sz w:val="24"/>
            <w:szCs w:val="24"/>
          </w:rPr>
          <w:t>European Investment Bank</w:t>
        </w:r>
      </w:hyperlink>
      <w:r w:rsidR="00AD17CE" w:rsidRPr="00326296">
        <w:rPr>
          <w:rFonts w:ascii="Times New Roman" w:hAnsi="Times New Roman" w:cs="Times New Roman"/>
          <w:sz w:val="24"/>
          <w:szCs w:val="24"/>
        </w:rPr>
        <w:t xml:space="preserve">, the </w:t>
      </w:r>
      <w:hyperlink r:id="rId24" w:history="1">
        <w:r w:rsidR="00AD17CE" w:rsidRPr="00326296">
          <w:rPr>
            <w:rStyle w:val="Hyperlink"/>
            <w:rFonts w:ascii="Times New Roman" w:hAnsi="Times New Roman" w:cs="Times New Roman"/>
            <w:sz w:val="24"/>
            <w:szCs w:val="24"/>
          </w:rPr>
          <w:t>Inter-American Development Bank</w:t>
        </w:r>
      </w:hyperlink>
      <w:r w:rsidR="00AD17CE" w:rsidRPr="00326296">
        <w:rPr>
          <w:rFonts w:ascii="Times New Roman" w:hAnsi="Times New Roman" w:cs="Times New Roman"/>
          <w:sz w:val="24"/>
          <w:szCs w:val="24"/>
        </w:rPr>
        <w:t xml:space="preserve">, </w:t>
      </w:r>
      <w:r w:rsidRPr="00326296">
        <w:rPr>
          <w:rFonts w:ascii="Times New Roman" w:hAnsi="Times New Roman" w:cs="Times New Roman"/>
          <w:sz w:val="24"/>
          <w:szCs w:val="24"/>
        </w:rPr>
        <w:t xml:space="preserve">and other multilateral financial institutions, in that they contain no explicit protections for Indigenous Peoples.  In June 2012, the </w:t>
      </w:r>
      <w:hyperlink r:id="rId25" w:history="1">
        <w:r w:rsidRPr="00326296">
          <w:rPr>
            <w:rStyle w:val="Hyperlink"/>
            <w:rFonts w:ascii="Times New Roman" w:hAnsi="Times New Roman" w:cs="Times New Roman"/>
            <w:sz w:val="24"/>
            <w:szCs w:val="24"/>
          </w:rPr>
          <w:t>Civil Society Coalition on the ADB</w:t>
        </w:r>
      </w:hyperlink>
      <w:r w:rsidRPr="00326296">
        <w:rPr>
          <w:rFonts w:ascii="Times New Roman" w:hAnsi="Times New Roman" w:cs="Times New Roman"/>
          <w:sz w:val="24"/>
          <w:szCs w:val="24"/>
        </w:rPr>
        <w:t xml:space="preserve"> released a </w:t>
      </w:r>
      <w:hyperlink r:id="rId26" w:history="1">
        <w:r w:rsidRPr="00326296">
          <w:rPr>
            <w:rStyle w:val="Hyperlink"/>
            <w:rFonts w:ascii="Times New Roman" w:hAnsi="Times New Roman" w:cs="Times New Roman"/>
            <w:sz w:val="24"/>
            <w:szCs w:val="24"/>
          </w:rPr>
          <w:t>report</w:t>
        </w:r>
      </w:hyperlink>
      <w:r w:rsidRPr="00326296">
        <w:rPr>
          <w:rFonts w:ascii="Times New Roman" w:hAnsi="Times New Roman" w:cs="Times New Roman"/>
          <w:sz w:val="24"/>
          <w:szCs w:val="24"/>
        </w:rPr>
        <w:t xml:space="preserve"> asserting the need for a standalone Indigenous Peoples’ policy within the ADB safeguards.</w:t>
      </w:r>
      <w:r w:rsidR="00AD17CE" w:rsidRPr="00326296">
        <w:rPr>
          <w:rFonts w:ascii="Times New Roman" w:hAnsi="Times New Roman" w:cs="Times New Roman"/>
          <w:sz w:val="24"/>
          <w:szCs w:val="24"/>
        </w:rPr>
        <w:t xml:space="preserve">  The ADB's hosting of an Indigenous Peoples' forum indicates increasing attention to this issue.</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27" w:history="1">
        <w:r w:rsidRPr="00326296">
          <w:rPr>
            <w:rStyle w:val="Hyperlink"/>
            <w:rFonts w:ascii="Times New Roman" w:hAnsi="Times New Roman" w:cs="Times New Roman"/>
            <w:sz w:val="24"/>
            <w:szCs w:val="24"/>
          </w:rPr>
          <w:t>Civil Society Coalition on the ADB</w:t>
        </w:r>
      </w:hyperlink>
      <w:r w:rsidRPr="00326296">
        <w:rPr>
          <w:rFonts w:ascii="Times New Roman" w:hAnsi="Times New Roman" w:cs="Times New Roman"/>
          <w:sz w:val="24"/>
          <w:szCs w:val="24"/>
        </w:rPr>
        <w:t xml:space="preserve">, </w:t>
      </w:r>
      <w:hyperlink r:id="rId28" w:history="1">
        <w:r w:rsidRPr="00326296">
          <w:rPr>
            <w:rStyle w:val="Hyperlink"/>
            <w:rFonts w:ascii="Times New Roman" w:hAnsi="Times New Roman" w:cs="Times New Roman"/>
            <w:sz w:val="24"/>
            <w:szCs w:val="24"/>
          </w:rPr>
          <w:t>Agence de Presse Afrique</w:t>
        </w:r>
      </w:hyperlink>
    </w:p>
    <w:p w:rsidR="00F21F53" w:rsidRPr="001B2B39" w:rsidRDefault="00F21F53" w:rsidP="00F21F53">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The Risks of NGO Partnerships</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The presence of Barrick Gold (TSE:ABX) and other mining companies in the northern Chilean town of Copiapo, and the subsequent demand for labor, is expected to increase the town’s population by 45,000 by 2014.  The companies’ heavy use of water resources could add to this number, as rural farmers displaced by water shortages migrate to the town.  Copiano’s housing infrastructure is not keeping pace with the population increase, resulting in the rapid </w:t>
      </w:r>
      <w:r w:rsidR="009D7327" w:rsidRPr="00326296">
        <w:rPr>
          <w:rFonts w:ascii="Times New Roman" w:hAnsi="Times New Roman" w:cs="Times New Roman"/>
          <w:sz w:val="24"/>
          <w:szCs w:val="24"/>
        </w:rPr>
        <w:t>spread</w:t>
      </w:r>
      <w:r w:rsidRPr="00326296">
        <w:rPr>
          <w:rFonts w:ascii="Times New Roman" w:hAnsi="Times New Roman" w:cs="Times New Roman"/>
          <w:sz w:val="24"/>
          <w:szCs w:val="24"/>
        </w:rPr>
        <w:t xml:space="preserve"> of slums.</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In 2008, Barrick partnered with </w:t>
      </w:r>
      <w:hyperlink r:id="rId29" w:history="1">
        <w:r w:rsidRPr="00326296">
          <w:rPr>
            <w:rStyle w:val="Hyperlink"/>
            <w:rFonts w:ascii="Times New Roman" w:hAnsi="Times New Roman" w:cs="Times New Roman"/>
            <w:sz w:val="24"/>
            <w:szCs w:val="24"/>
          </w:rPr>
          <w:t>Un Techo para Chile</w:t>
        </w:r>
      </w:hyperlink>
      <w:r w:rsidRPr="00326296">
        <w:rPr>
          <w:rFonts w:ascii="Times New Roman" w:hAnsi="Times New Roman" w:cs="Times New Roman"/>
          <w:sz w:val="24"/>
          <w:szCs w:val="24"/>
        </w:rPr>
        <w:t>, a local NGO</w:t>
      </w:r>
      <w:r w:rsidR="009D7327" w:rsidRPr="00326296">
        <w:rPr>
          <w:rFonts w:ascii="Times New Roman" w:hAnsi="Times New Roman" w:cs="Times New Roman"/>
          <w:sz w:val="24"/>
          <w:szCs w:val="24"/>
        </w:rPr>
        <w:t xml:space="preserve"> focused on housing issues</w:t>
      </w:r>
      <w:r w:rsidRPr="00326296">
        <w:rPr>
          <w:rFonts w:ascii="Times New Roman" w:hAnsi="Times New Roman" w:cs="Times New Roman"/>
          <w:sz w:val="24"/>
          <w:szCs w:val="24"/>
        </w:rPr>
        <w:t>, to construct a residential complex for</w:t>
      </w:r>
      <w:r w:rsidR="009D7327" w:rsidRPr="00326296">
        <w:rPr>
          <w:rFonts w:ascii="Times New Roman" w:hAnsi="Times New Roman" w:cs="Times New Roman"/>
          <w:sz w:val="24"/>
          <w:szCs w:val="24"/>
        </w:rPr>
        <w:t xml:space="preserve"> 125 families.  Critics say the </w:t>
      </w:r>
      <w:r w:rsidRPr="00326296">
        <w:rPr>
          <w:rFonts w:ascii="Times New Roman" w:hAnsi="Times New Roman" w:cs="Times New Roman"/>
          <w:sz w:val="24"/>
          <w:szCs w:val="24"/>
        </w:rPr>
        <w:t xml:space="preserve">partnership will inhibit Un Techo para Chile’s willingness to publicly critique the company, thus costing the community a key representative in discussions about </w:t>
      </w:r>
      <w:r w:rsidR="009D7327" w:rsidRPr="00326296">
        <w:rPr>
          <w:rFonts w:ascii="Times New Roman" w:hAnsi="Times New Roman" w:cs="Times New Roman"/>
          <w:sz w:val="24"/>
          <w:szCs w:val="24"/>
        </w:rPr>
        <w:t>housing and other</w:t>
      </w:r>
      <w:r w:rsidRPr="00326296">
        <w:rPr>
          <w:rFonts w:ascii="Times New Roman" w:hAnsi="Times New Roman" w:cs="Times New Roman"/>
          <w:sz w:val="24"/>
          <w:szCs w:val="24"/>
        </w:rPr>
        <w:t xml:space="preserve"> social and environmental impacts of the mining industry.</w:t>
      </w:r>
    </w:p>
    <w:p w:rsidR="00F21F53" w:rsidRPr="00326296" w:rsidRDefault="007A4E5A" w:rsidP="0093700A">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NGOs </w:t>
      </w:r>
      <w:r w:rsidR="0093700A" w:rsidRPr="00326296">
        <w:rPr>
          <w:rFonts w:ascii="Times New Roman" w:hAnsi="Times New Roman" w:cs="Times New Roman"/>
          <w:sz w:val="24"/>
          <w:szCs w:val="24"/>
        </w:rPr>
        <w:t xml:space="preserve">can be enticing partners </w:t>
      </w:r>
      <w:r w:rsidRPr="00326296">
        <w:rPr>
          <w:rFonts w:ascii="Times New Roman" w:hAnsi="Times New Roman" w:cs="Times New Roman"/>
          <w:sz w:val="24"/>
          <w:szCs w:val="24"/>
        </w:rPr>
        <w:t xml:space="preserve">for companies undertaking community development projects, due to their expertise in the </w:t>
      </w:r>
      <w:r w:rsidR="0093700A" w:rsidRPr="00326296">
        <w:rPr>
          <w:rFonts w:ascii="Times New Roman" w:hAnsi="Times New Roman" w:cs="Times New Roman"/>
          <w:sz w:val="24"/>
          <w:szCs w:val="24"/>
        </w:rPr>
        <w:t>relevant issues.  However, such partnerships</w:t>
      </w:r>
      <w:r w:rsidR="00F21F53" w:rsidRPr="00326296">
        <w:rPr>
          <w:rFonts w:ascii="Times New Roman" w:hAnsi="Times New Roman" w:cs="Times New Roman"/>
          <w:sz w:val="24"/>
          <w:szCs w:val="24"/>
        </w:rPr>
        <w:t xml:space="preserve"> are </w:t>
      </w:r>
      <w:r w:rsidR="0093700A" w:rsidRPr="00326296">
        <w:rPr>
          <w:rFonts w:ascii="Times New Roman" w:hAnsi="Times New Roman" w:cs="Times New Roman"/>
          <w:sz w:val="24"/>
          <w:szCs w:val="24"/>
        </w:rPr>
        <w:t xml:space="preserve">often subject to criticism that they are </w:t>
      </w:r>
      <w:r w:rsidR="00F21F53" w:rsidRPr="00326296">
        <w:rPr>
          <w:rFonts w:ascii="Times New Roman" w:hAnsi="Times New Roman" w:cs="Times New Roman"/>
          <w:sz w:val="24"/>
          <w:szCs w:val="24"/>
        </w:rPr>
        <w:t>detrimental to or do not address the needs of communities.  Partnering directly with communities provides companies with heightened assurance that the impacts of community development projects will be felt by their intended beneficiaries.</w:t>
      </w:r>
    </w:p>
    <w:p w:rsidR="00F21F53" w:rsidRPr="00326296" w:rsidRDefault="00F21F53" w:rsidP="00F21F53">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30" w:history="1">
        <w:r w:rsidRPr="00326296">
          <w:rPr>
            <w:rStyle w:val="Hyperlink"/>
            <w:rFonts w:ascii="Times New Roman" w:hAnsi="Times New Roman" w:cs="Times New Roman"/>
            <w:sz w:val="24"/>
            <w:szCs w:val="24"/>
          </w:rPr>
          <w:t>Corporate Knights</w:t>
        </w:r>
      </w:hyperlink>
    </w:p>
    <w:p w:rsidR="00F21F53" w:rsidRPr="001B2B39" w:rsidRDefault="00F21F53" w:rsidP="00F21F53">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 xml:space="preserve">The Cost of Ignoring Cleanup: Chevron </w:t>
      </w:r>
    </w:p>
    <w:p w:rsidR="00F21F53" w:rsidRPr="00326296" w:rsidRDefault="00326296" w:rsidP="00F21F53">
      <w:pPr>
        <w:spacing w:line="360" w:lineRule="auto"/>
        <w:jc w:val="both"/>
        <w:rPr>
          <w:rFonts w:ascii="Times New Roman" w:hAnsi="Times New Roman" w:cs="Times New Roman"/>
          <w:sz w:val="24"/>
          <w:szCs w:val="24"/>
          <w:shd w:val="clear" w:color="auto" w:fill="FFFFFF"/>
        </w:rPr>
      </w:pPr>
      <w:r w:rsidRPr="00326296">
        <w:rPr>
          <w:rFonts w:ascii="Times New Roman" w:hAnsi="Times New Roman" w:cs="Times New Roman"/>
          <w:sz w:val="24"/>
          <w:szCs w:val="24"/>
        </w:rPr>
        <w:t xml:space="preserve">Despite enlisting at least 2,000 legal personnel from over 60 law firms, </w:t>
      </w:r>
      <w:r w:rsidR="00F21F53" w:rsidRPr="00326296">
        <w:rPr>
          <w:rFonts w:ascii="Times New Roman" w:hAnsi="Times New Roman" w:cs="Times New Roman"/>
          <w:sz w:val="24"/>
          <w:szCs w:val="24"/>
        </w:rPr>
        <w:t>Chevron (NYSE:CVX) continues to face setbacks in its</w:t>
      </w:r>
      <w:r w:rsidR="0093700A" w:rsidRPr="00326296">
        <w:rPr>
          <w:rFonts w:ascii="Times New Roman" w:hAnsi="Times New Roman" w:cs="Times New Roman"/>
          <w:sz w:val="24"/>
          <w:szCs w:val="24"/>
        </w:rPr>
        <w:t xml:space="preserve"> resistance to</w:t>
      </w:r>
      <w:r w:rsidR="00F21F53" w:rsidRPr="00326296">
        <w:rPr>
          <w:rFonts w:ascii="Times New Roman" w:hAnsi="Times New Roman" w:cs="Times New Roman"/>
          <w:sz w:val="24"/>
          <w:szCs w:val="24"/>
        </w:rPr>
        <w:t xml:space="preserve"> a 2011 Ecuadorian court </w:t>
      </w:r>
      <w:hyperlink r:id="rId31" w:history="1">
        <w:r w:rsidR="00F21F53" w:rsidRPr="00326296">
          <w:rPr>
            <w:rStyle w:val="Hyperlink"/>
            <w:rFonts w:ascii="Times New Roman" w:hAnsi="Times New Roman" w:cs="Times New Roman"/>
            <w:sz w:val="24"/>
            <w:szCs w:val="24"/>
          </w:rPr>
          <w:t>ruling</w:t>
        </w:r>
      </w:hyperlink>
      <w:r w:rsidR="00F21F53" w:rsidRPr="00326296">
        <w:rPr>
          <w:rFonts w:ascii="Times New Roman" w:hAnsi="Times New Roman" w:cs="Times New Roman"/>
          <w:sz w:val="24"/>
          <w:szCs w:val="24"/>
        </w:rPr>
        <w:t xml:space="preserve"> ordering the company to pay US$19.04 billion for environmental damages </w:t>
      </w:r>
      <w:r w:rsidR="0093700A" w:rsidRPr="00326296">
        <w:rPr>
          <w:rFonts w:ascii="Times New Roman" w:hAnsi="Times New Roman" w:cs="Times New Roman"/>
          <w:sz w:val="24"/>
          <w:szCs w:val="24"/>
        </w:rPr>
        <w:t>to Indigenous communities in</w:t>
      </w:r>
      <w:r w:rsidR="00F21F53" w:rsidRPr="00326296">
        <w:rPr>
          <w:rFonts w:ascii="Times New Roman" w:hAnsi="Times New Roman" w:cs="Times New Roman"/>
          <w:sz w:val="24"/>
          <w:szCs w:val="24"/>
        </w:rPr>
        <w:t xml:space="preserve"> Ecuador.  On January 30, an Argentine appeals court upheld a November 2011 freeze on all of Chevron’s assets in the country (estimated at US$2 billion), until the company agreed to pay the fine.  The decision was based on a </w:t>
      </w:r>
      <w:hyperlink r:id="rId32" w:history="1">
        <w:r w:rsidR="00F21F53" w:rsidRPr="00326296">
          <w:rPr>
            <w:rStyle w:val="Hyperlink"/>
            <w:rFonts w:ascii="Times New Roman" w:hAnsi="Times New Roman" w:cs="Times New Roman"/>
            <w:sz w:val="24"/>
            <w:szCs w:val="24"/>
          </w:rPr>
          <w:t>treaty</w:t>
        </w:r>
      </w:hyperlink>
      <w:r w:rsidR="00F21F53" w:rsidRPr="00326296">
        <w:rPr>
          <w:rFonts w:ascii="Times New Roman" w:hAnsi="Times New Roman" w:cs="Times New Roman"/>
          <w:sz w:val="24"/>
          <w:szCs w:val="24"/>
        </w:rPr>
        <w:t xml:space="preserve"> ratified by most South American countries, which states that </w:t>
      </w:r>
      <w:r w:rsidR="00F21F53" w:rsidRPr="00326296">
        <w:rPr>
          <w:rFonts w:ascii="Times New Roman" w:hAnsi="Times New Roman" w:cs="Times New Roman"/>
          <w:sz w:val="24"/>
          <w:szCs w:val="24"/>
          <w:shd w:val="clear" w:color="auto" w:fill="FFFFFF"/>
        </w:rPr>
        <w:t>a defendant's assets will automatically be frozen if it fails to pay a final judgment by a foreign court.  On February 15, a US appeals court ordered Chevron to submit documents pertaining to allegations t</w:t>
      </w:r>
      <w:r w:rsidR="0093700A" w:rsidRPr="00326296">
        <w:rPr>
          <w:rFonts w:ascii="Times New Roman" w:hAnsi="Times New Roman" w:cs="Times New Roman"/>
          <w:sz w:val="24"/>
          <w:szCs w:val="24"/>
          <w:shd w:val="clear" w:color="auto" w:fill="FFFFFF"/>
        </w:rPr>
        <w:t>hat it bribed Ecuadorian judges</w:t>
      </w:r>
      <w:r w:rsidR="00F21F53" w:rsidRPr="00326296">
        <w:rPr>
          <w:rFonts w:ascii="Times New Roman" w:hAnsi="Times New Roman" w:cs="Times New Roman"/>
          <w:sz w:val="24"/>
          <w:szCs w:val="24"/>
          <w:shd w:val="clear" w:color="auto" w:fill="FFFFFF"/>
        </w:rPr>
        <w:t xml:space="preserve"> in exchange for false testimony depicting the company in a positive light.</w:t>
      </w:r>
    </w:p>
    <w:p w:rsidR="00F21F53" w:rsidRPr="00326296" w:rsidRDefault="00F21F53" w:rsidP="00F21F53">
      <w:pPr>
        <w:spacing w:line="360" w:lineRule="auto"/>
        <w:jc w:val="both"/>
        <w:rPr>
          <w:rFonts w:ascii="Times New Roman" w:hAnsi="Times New Roman" w:cs="Times New Roman"/>
          <w:sz w:val="24"/>
          <w:szCs w:val="24"/>
          <w:shd w:val="clear" w:color="auto" w:fill="FFFFFF"/>
        </w:rPr>
      </w:pPr>
      <w:r w:rsidRPr="00326296">
        <w:rPr>
          <w:rFonts w:ascii="Times New Roman" w:hAnsi="Times New Roman" w:cs="Times New Roman"/>
          <w:sz w:val="24"/>
          <w:szCs w:val="24"/>
          <w:shd w:val="clear" w:color="auto" w:fill="FFFFFF"/>
        </w:rPr>
        <w:t xml:space="preserve">Chevron’s legal troubles are exacerbated by its refusal to </w:t>
      </w:r>
      <w:r w:rsidR="0093158A" w:rsidRPr="00326296">
        <w:rPr>
          <w:rFonts w:ascii="Times New Roman" w:hAnsi="Times New Roman" w:cs="Times New Roman"/>
          <w:sz w:val="24"/>
          <w:szCs w:val="24"/>
          <w:shd w:val="clear" w:color="auto" w:fill="FFFFFF"/>
        </w:rPr>
        <w:t xml:space="preserve">acknowledge and address </w:t>
      </w:r>
      <w:r w:rsidRPr="00326296">
        <w:rPr>
          <w:rFonts w:ascii="Times New Roman" w:hAnsi="Times New Roman" w:cs="Times New Roman"/>
          <w:sz w:val="24"/>
          <w:szCs w:val="24"/>
          <w:shd w:val="clear" w:color="auto" w:fill="FFFFFF"/>
        </w:rPr>
        <w:t xml:space="preserve">shareholder </w:t>
      </w:r>
      <w:r w:rsidR="0093158A" w:rsidRPr="00326296">
        <w:rPr>
          <w:rFonts w:ascii="Times New Roman" w:hAnsi="Times New Roman" w:cs="Times New Roman"/>
          <w:sz w:val="24"/>
          <w:szCs w:val="24"/>
          <w:shd w:val="clear" w:color="auto" w:fill="FFFFFF"/>
        </w:rPr>
        <w:t xml:space="preserve">concerns related to the </w:t>
      </w:r>
      <w:r w:rsidRPr="00326296">
        <w:rPr>
          <w:rFonts w:ascii="Times New Roman" w:hAnsi="Times New Roman" w:cs="Times New Roman"/>
          <w:sz w:val="24"/>
          <w:szCs w:val="24"/>
          <w:shd w:val="clear" w:color="auto" w:fill="FFFFFF"/>
        </w:rPr>
        <w:t>risks associated with the company’s actions.  In November 2012, the company subpoenaed</w:t>
      </w:r>
      <w:r w:rsidRPr="00326296">
        <w:rPr>
          <w:rFonts w:ascii="Times New Roman" w:hAnsi="Times New Roman" w:cs="Times New Roman"/>
          <w:sz w:val="24"/>
          <w:szCs w:val="24"/>
        </w:rPr>
        <w:t xml:space="preserve"> Trillium Asset Management, </w:t>
      </w:r>
      <w:r w:rsidR="0093700A" w:rsidRPr="00326296">
        <w:rPr>
          <w:rFonts w:ascii="Times New Roman" w:hAnsi="Times New Roman" w:cs="Times New Roman"/>
          <w:sz w:val="24"/>
          <w:szCs w:val="24"/>
        </w:rPr>
        <w:t>an investment firm that</w:t>
      </w:r>
      <w:r w:rsidRPr="00326296">
        <w:rPr>
          <w:rFonts w:ascii="Times New Roman" w:hAnsi="Times New Roman" w:cs="Times New Roman"/>
          <w:sz w:val="24"/>
          <w:szCs w:val="24"/>
        </w:rPr>
        <w:t xml:space="preserve"> sponsored several shareholder proposals requesting the company to improve its social and environmental performance.  The </w:t>
      </w:r>
      <w:hyperlink r:id="rId33" w:history="1">
        <w:r w:rsidRPr="00326296">
          <w:rPr>
            <w:rStyle w:val="Hyperlink"/>
            <w:rFonts w:ascii="Times New Roman" w:hAnsi="Times New Roman" w:cs="Times New Roman"/>
            <w:sz w:val="24"/>
            <w:szCs w:val="24"/>
          </w:rPr>
          <w:t>subpoena</w:t>
        </w:r>
      </w:hyperlink>
      <w:r w:rsidRPr="00326296">
        <w:rPr>
          <w:rFonts w:ascii="Times New Roman" w:hAnsi="Times New Roman" w:cs="Times New Roman"/>
          <w:sz w:val="24"/>
          <w:szCs w:val="24"/>
        </w:rPr>
        <w:t xml:space="preserve"> is part of a lawsuit Chevron is filing against the parties involved in bringing charges against the company.</w:t>
      </w:r>
    </w:p>
    <w:p w:rsidR="00F21F53" w:rsidRDefault="00F21F53" w:rsidP="00F21F53">
      <w:pPr>
        <w:spacing w:line="360" w:lineRule="auto"/>
        <w:jc w:val="both"/>
      </w:pPr>
      <w:r w:rsidRPr="00326296">
        <w:rPr>
          <w:rFonts w:ascii="Times New Roman" w:hAnsi="Times New Roman" w:cs="Times New Roman"/>
          <w:sz w:val="24"/>
          <w:szCs w:val="24"/>
          <w:shd w:val="clear" w:color="auto" w:fill="FFFFFF"/>
        </w:rPr>
        <w:t xml:space="preserve">Sources: </w:t>
      </w:r>
      <w:hyperlink r:id="rId34" w:history="1">
        <w:r w:rsidRPr="00326296">
          <w:rPr>
            <w:rStyle w:val="Hyperlink"/>
            <w:rFonts w:ascii="Times New Roman" w:hAnsi="Times New Roman" w:cs="Times New Roman"/>
            <w:sz w:val="24"/>
            <w:szCs w:val="24"/>
            <w:shd w:val="clear" w:color="auto" w:fill="FFFFFF"/>
          </w:rPr>
          <w:t>Reuters</w:t>
        </w:r>
      </w:hyperlink>
      <w:r w:rsidRPr="00326296">
        <w:rPr>
          <w:rFonts w:ascii="Times New Roman" w:hAnsi="Times New Roman" w:cs="Times New Roman"/>
          <w:sz w:val="24"/>
          <w:szCs w:val="24"/>
          <w:shd w:val="clear" w:color="auto" w:fill="FFFFFF"/>
        </w:rPr>
        <w:t xml:space="preserve">, </w:t>
      </w:r>
      <w:hyperlink r:id="rId35" w:history="1">
        <w:r w:rsidRPr="00326296">
          <w:rPr>
            <w:rStyle w:val="Hyperlink"/>
            <w:rFonts w:ascii="Times New Roman" w:hAnsi="Times New Roman" w:cs="Times New Roman"/>
            <w:sz w:val="24"/>
            <w:szCs w:val="24"/>
            <w:shd w:val="clear" w:color="auto" w:fill="FFFFFF"/>
          </w:rPr>
          <w:t>Amazon Defense Coalition</w:t>
        </w:r>
      </w:hyperlink>
      <w:r w:rsidRPr="00326296">
        <w:rPr>
          <w:rFonts w:ascii="Times New Roman" w:hAnsi="Times New Roman" w:cs="Times New Roman"/>
          <w:sz w:val="24"/>
          <w:szCs w:val="24"/>
          <w:shd w:val="clear" w:color="auto" w:fill="FFFFFF"/>
        </w:rPr>
        <w:t xml:space="preserve">, </w:t>
      </w:r>
      <w:hyperlink r:id="rId36" w:history="1">
        <w:r w:rsidRPr="00326296">
          <w:rPr>
            <w:rStyle w:val="Hyperlink"/>
            <w:rFonts w:ascii="Times New Roman" w:hAnsi="Times New Roman" w:cs="Times New Roman"/>
            <w:sz w:val="24"/>
            <w:szCs w:val="24"/>
            <w:shd w:val="clear" w:color="auto" w:fill="FFFFFF"/>
          </w:rPr>
          <w:t>CSR Wire</w:t>
        </w:r>
      </w:hyperlink>
      <w:r w:rsidRPr="00326296">
        <w:rPr>
          <w:rFonts w:ascii="Times New Roman" w:hAnsi="Times New Roman" w:cs="Times New Roman"/>
          <w:sz w:val="24"/>
          <w:szCs w:val="24"/>
          <w:shd w:val="clear" w:color="auto" w:fill="FFFFFF"/>
        </w:rPr>
        <w:t xml:space="preserve">, </w:t>
      </w:r>
      <w:hyperlink r:id="rId37" w:history="1">
        <w:r w:rsidRPr="00326296">
          <w:rPr>
            <w:rStyle w:val="Hyperlink"/>
            <w:rFonts w:ascii="Times New Roman" w:hAnsi="Times New Roman" w:cs="Times New Roman"/>
            <w:sz w:val="24"/>
            <w:szCs w:val="24"/>
            <w:shd w:val="clear" w:color="auto" w:fill="FFFFFF"/>
          </w:rPr>
          <w:t>CSR Wire</w:t>
        </w:r>
      </w:hyperlink>
      <w:r w:rsidR="00326296" w:rsidRPr="00326296">
        <w:rPr>
          <w:rFonts w:ascii="Times New Roman" w:hAnsi="Times New Roman" w:cs="Times New Roman"/>
          <w:sz w:val="24"/>
          <w:szCs w:val="24"/>
        </w:rPr>
        <w:t xml:space="preserve">, </w:t>
      </w:r>
      <w:hyperlink r:id="rId38" w:history="1">
        <w:r w:rsidR="00326296" w:rsidRPr="00326296">
          <w:rPr>
            <w:rStyle w:val="Hyperlink"/>
            <w:rFonts w:ascii="Times New Roman" w:hAnsi="Times New Roman" w:cs="Times New Roman"/>
            <w:sz w:val="24"/>
            <w:szCs w:val="24"/>
          </w:rPr>
          <w:t>CSR Wire</w:t>
        </w:r>
      </w:hyperlink>
    </w:p>
    <w:p w:rsidR="001B2B39" w:rsidRDefault="001B2B39" w:rsidP="00F21F53">
      <w:pPr>
        <w:spacing w:line="360" w:lineRule="auto"/>
        <w:jc w:val="both"/>
      </w:pPr>
    </w:p>
    <w:p w:rsidR="001B2B39" w:rsidRPr="00326296" w:rsidRDefault="001B2B39" w:rsidP="00F21F53">
      <w:pPr>
        <w:spacing w:line="360" w:lineRule="auto"/>
        <w:jc w:val="both"/>
        <w:rPr>
          <w:rFonts w:ascii="Times New Roman" w:hAnsi="Times New Roman" w:cs="Times New Roman"/>
          <w:sz w:val="24"/>
          <w:szCs w:val="24"/>
          <w:shd w:val="clear" w:color="auto" w:fill="FFFFFF"/>
        </w:rPr>
      </w:pPr>
    </w:p>
    <w:p w:rsidR="00EA209C" w:rsidRPr="001B2B39" w:rsidRDefault="00EA209C" w:rsidP="000A72E5">
      <w:pPr>
        <w:spacing w:line="360" w:lineRule="auto"/>
        <w:jc w:val="both"/>
        <w:rPr>
          <w:rFonts w:ascii="Times New Roman" w:hAnsi="Times New Roman" w:cs="Times New Roman"/>
          <w:b/>
          <w:sz w:val="28"/>
          <w:szCs w:val="28"/>
        </w:rPr>
      </w:pPr>
      <w:r w:rsidRPr="001B2B39">
        <w:rPr>
          <w:rFonts w:ascii="Times New Roman" w:hAnsi="Times New Roman" w:cs="Times New Roman"/>
          <w:b/>
          <w:sz w:val="28"/>
          <w:szCs w:val="28"/>
        </w:rPr>
        <w:t>Tanzania</w:t>
      </w:r>
      <w:r w:rsidR="00F21F53" w:rsidRPr="001B2B39">
        <w:rPr>
          <w:rFonts w:ascii="Times New Roman" w:hAnsi="Times New Roman" w:cs="Times New Roman"/>
          <w:b/>
          <w:sz w:val="28"/>
          <w:szCs w:val="28"/>
        </w:rPr>
        <w:t xml:space="preserve"> Restricts Land Investments</w:t>
      </w:r>
    </w:p>
    <w:p w:rsidR="006308E4" w:rsidRPr="00326296" w:rsidRDefault="006308E4" w:rsidP="000A72E5">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As of January 2013, Tanzania will restrict the size of land that investors can lease for agricultural use.  The restrictions vary based on what commodity is grown on the land; for example, the limit for rice is 5,000 hectares </w:t>
      </w:r>
      <w:r w:rsidR="00F54F11" w:rsidRPr="00326296">
        <w:rPr>
          <w:rFonts w:ascii="Times New Roman" w:hAnsi="Times New Roman" w:cs="Times New Roman"/>
          <w:sz w:val="24"/>
          <w:szCs w:val="24"/>
        </w:rPr>
        <w:t xml:space="preserve">(12,355 acres) </w:t>
      </w:r>
      <w:r w:rsidRPr="00326296">
        <w:rPr>
          <w:rFonts w:ascii="Times New Roman" w:hAnsi="Times New Roman" w:cs="Times New Roman"/>
          <w:sz w:val="24"/>
          <w:szCs w:val="24"/>
        </w:rPr>
        <w:t>and the limit for sugar is 10,000 hectares</w:t>
      </w:r>
      <w:r w:rsidR="00F54F11" w:rsidRPr="00326296">
        <w:rPr>
          <w:rFonts w:ascii="Times New Roman" w:hAnsi="Times New Roman" w:cs="Times New Roman"/>
          <w:sz w:val="24"/>
          <w:szCs w:val="24"/>
        </w:rPr>
        <w:t xml:space="preserve"> (24,710 acres)</w:t>
      </w:r>
      <w:r w:rsidRPr="00326296">
        <w:rPr>
          <w:rFonts w:ascii="Times New Roman" w:hAnsi="Times New Roman" w:cs="Times New Roman"/>
          <w:sz w:val="24"/>
          <w:szCs w:val="24"/>
        </w:rPr>
        <w:t>.</w:t>
      </w:r>
    </w:p>
    <w:p w:rsidR="006308E4" w:rsidRPr="00326296" w:rsidRDefault="006308E4" w:rsidP="0093700A">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The decision comes in response to increasing international criticisms that large-scale land acquisitions are physically and economically displacing small farmers and Indigenous communities in Africa.  The </w:t>
      </w:r>
      <w:hyperlink r:id="rId39" w:history="1">
        <w:r w:rsidRPr="00326296">
          <w:rPr>
            <w:rStyle w:val="Hyperlink"/>
            <w:rFonts w:ascii="Times New Roman" w:hAnsi="Times New Roman" w:cs="Times New Roman"/>
            <w:sz w:val="24"/>
            <w:szCs w:val="24"/>
          </w:rPr>
          <w:t>Land Rights Research and Resources Institute</w:t>
        </w:r>
      </w:hyperlink>
      <w:r w:rsidRPr="00326296">
        <w:rPr>
          <w:rFonts w:ascii="Times New Roman" w:hAnsi="Times New Roman" w:cs="Times New Roman"/>
          <w:sz w:val="24"/>
          <w:szCs w:val="24"/>
        </w:rPr>
        <w:t xml:space="preserve"> estimates that out of 1,825 general land disputes in Tanzania in 2011, 1,095 involved large-scale investors.  In November 2012, representatives from 22 countries approved the </w:t>
      </w:r>
      <w:hyperlink r:id="rId40" w:history="1">
        <w:r w:rsidRPr="00326296">
          <w:rPr>
            <w:rStyle w:val="Hyperlink"/>
            <w:rFonts w:ascii="Times New Roman" w:hAnsi="Times New Roman" w:cs="Times New Roman"/>
            <w:sz w:val="24"/>
            <w:szCs w:val="24"/>
          </w:rPr>
          <w:t>Yaoundé Declaration</w:t>
        </w:r>
      </w:hyperlink>
      <w:r w:rsidRPr="00326296">
        <w:rPr>
          <w:rFonts w:ascii="Times New Roman" w:hAnsi="Times New Roman" w:cs="Times New Roman"/>
          <w:sz w:val="24"/>
          <w:szCs w:val="24"/>
        </w:rPr>
        <w:t xml:space="preserve"> at the first African Land Forum, which recommended protection and recognition of Indigenous Peoples’ land claims (including communal lands), and the obtainment of</w:t>
      </w:r>
      <w:r w:rsidR="0093700A" w:rsidRPr="00326296">
        <w:rPr>
          <w:rFonts w:ascii="Times New Roman" w:hAnsi="Times New Roman" w:cs="Times New Roman"/>
          <w:sz w:val="24"/>
          <w:szCs w:val="24"/>
        </w:rPr>
        <w:t xml:space="preserve"> free, prior, and informed consent (FPIC)</w:t>
      </w:r>
      <w:r w:rsidRPr="00326296">
        <w:rPr>
          <w:rFonts w:ascii="Times New Roman" w:hAnsi="Times New Roman" w:cs="Times New Roman"/>
          <w:sz w:val="24"/>
          <w:szCs w:val="24"/>
        </w:rPr>
        <w:t xml:space="preserve"> from Indigenous Peoples in large-scale land investment decisions.  Tanzania’s new law is a step towards recognition of these recommendations, but does not guarantee Indigeno</w:t>
      </w:r>
      <w:r w:rsidR="00F77183" w:rsidRPr="00326296">
        <w:rPr>
          <w:rFonts w:ascii="Times New Roman" w:hAnsi="Times New Roman" w:cs="Times New Roman"/>
          <w:sz w:val="24"/>
          <w:szCs w:val="24"/>
        </w:rPr>
        <w:t>us Peoples</w:t>
      </w:r>
      <w:r w:rsidR="0093700A" w:rsidRPr="00326296">
        <w:rPr>
          <w:rFonts w:ascii="Times New Roman" w:hAnsi="Times New Roman" w:cs="Times New Roman"/>
          <w:sz w:val="24"/>
          <w:szCs w:val="24"/>
        </w:rPr>
        <w:t>' land rights.</w:t>
      </w:r>
      <w:r w:rsidR="00F77183" w:rsidRPr="00326296">
        <w:rPr>
          <w:rFonts w:ascii="Times New Roman" w:hAnsi="Times New Roman" w:cs="Times New Roman"/>
          <w:sz w:val="24"/>
          <w:szCs w:val="24"/>
        </w:rPr>
        <w:t xml:space="preserve"> </w:t>
      </w:r>
      <w:r w:rsidR="0093700A" w:rsidRPr="00326296">
        <w:rPr>
          <w:rFonts w:ascii="Times New Roman" w:hAnsi="Times New Roman" w:cs="Times New Roman"/>
          <w:sz w:val="24"/>
          <w:szCs w:val="24"/>
        </w:rPr>
        <w:t xml:space="preserve"> The law contains no mentioning of awarding land tenure to Indigenous communities, and the restrictions imposed are far larger than their territories may be.</w:t>
      </w:r>
    </w:p>
    <w:p w:rsidR="006308E4" w:rsidRPr="00326296" w:rsidRDefault="006308E4" w:rsidP="000A72E5">
      <w:pPr>
        <w:spacing w:line="360" w:lineRule="auto"/>
        <w:jc w:val="both"/>
        <w:rPr>
          <w:rFonts w:ascii="Times New Roman" w:hAnsi="Times New Roman" w:cs="Times New Roman"/>
          <w:sz w:val="24"/>
          <w:szCs w:val="24"/>
        </w:rPr>
      </w:pPr>
      <w:r w:rsidRPr="00326296">
        <w:rPr>
          <w:rFonts w:ascii="Times New Roman" w:hAnsi="Times New Roman" w:cs="Times New Roman"/>
          <w:sz w:val="24"/>
          <w:szCs w:val="24"/>
        </w:rPr>
        <w:t xml:space="preserve">Sources: </w:t>
      </w:r>
      <w:hyperlink r:id="rId41" w:history="1">
        <w:r w:rsidRPr="00326296">
          <w:rPr>
            <w:rStyle w:val="Hyperlink"/>
            <w:rFonts w:ascii="Times New Roman" w:hAnsi="Times New Roman" w:cs="Times New Roman"/>
            <w:sz w:val="24"/>
            <w:szCs w:val="24"/>
          </w:rPr>
          <w:t>Inter Press Service</w:t>
        </w:r>
      </w:hyperlink>
    </w:p>
    <w:sectPr w:rsidR="006308E4" w:rsidRPr="00326296" w:rsidSect="00E36135">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A8A" w:rsidRDefault="00121A8A" w:rsidP="00121A8A">
      <w:pPr>
        <w:spacing w:after="0" w:line="240" w:lineRule="auto"/>
      </w:pPr>
      <w:r>
        <w:separator/>
      </w:r>
    </w:p>
  </w:endnote>
  <w:endnote w:type="continuationSeparator" w:id="0">
    <w:p w:rsidR="00121A8A" w:rsidRDefault="00121A8A" w:rsidP="00121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Quicksand Book Regular">
    <w:altName w:val="Palatino Linotype"/>
    <w:charset w:val="00"/>
    <w:family w:val="auto"/>
    <w:pitch w:val="variable"/>
    <w:sig w:usb0="00000001" w:usb1="00000008" w:usb2="00000000" w:usb3="00000000" w:csb0="0000011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A8A" w:rsidRDefault="00121A8A" w:rsidP="00121A8A">
    <w:pPr>
      <w:pStyle w:val="Footer"/>
      <w:jc w:val="center"/>
      <w:rPr>
        <w:rFonts w:ascii="Quicksand Book Regular" w:hAnsi="Quicksand Book Regular"/>
        <w:color w:val="000000" w:themeColor="text1"/>
        <w:sz w:val="18"/>
        <w:szCs w:val="18"/>
      </w:rPr>
    </w:pPr>
  </w:p>
  <w:p w:rsidR="00121A8A" w:rsidRDefault="00121A8A" w:rsidP="00121A8A">
    <w:pPr>
      <w:pStyle w:val="Footer"/>
      <w:jc w:val="center"/>
      <w:rPr>
        <w:rFonts w:ascii="Quicksand Book Regular" w:hAnsi="Quicksand Book Regular"/>
        <w:color w:val="000000" w:themeColor="text1"/>
        <w:sz w:val="18"/>
        <w:szCs w:val="18"/>
      </w:rPr>
    </w:pPr>
  </w:p>
  <w:p w:rsidR="00121A8A" w:rsidRPr="00121A8A" w:rsidRDefault="00121A8A" w:rsidP="00121A8A">
    <w:pPr>
      <w:pStyle w:val="Footer"/>
      <w:jc w:val="center"/>
      <w:rPr>
        <w:rFonts w:ascii="Quicksand Book Regular" w:hAnsi="Quicksand Book Regular"/>
        <w:color w:val="000000" w:themeColor="text1"/>
        <w:sz w:val="18"/>
        <w:szCs w:val="18"/>
      </w:rPr>
    </w:pPr>
    <w:r>
      <w:rPr>
        <w:rFonts w:ascii="Quicksand Book Regular" w:hAnsi="Quicksand Book Regular"/>
        <w:noProof/>
        <w:color w:val="000000" w:themeColor="text1"/>
        <w:sz w:val="18"/>
        <w:szCs w:val="18"/>
      </w:rPr>
      <w:drawing>
        <wp:anchor distT="0" distB="0" distL="114300" distR="114300" simplePos="0" relativeHeight="251660288" behindDoc="1" locked="0" layoutInCell="1" allowOverlap="1">
          <wp:simplePos x="0" y="0"/>
          <wp:positionH relativeFrom="column">
            <wp:align>center</wp:align>
          </wp:positionH>
          <wp:positionV relativeFrom="page">
            <wp:align>bottom</wp:align>
          </wp:positionV>
          <wp:extent cx="7772400" cy="4572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8038EE">
      <w:rPr>
        <w:rFonts w:ascii="Quicksand Book Regular" w:hAnsi="Quicksand Book Regular"/>
        <w:color w:val="000000" w:themeColor="text1"/>
        <w:sz w:val="18"/>
        <w:szCs w:val="18"/>
      </w:rPr>
      <w:t xml:space="preserve">First Peoples Worldwide | 857 Leeland Rd Fredericksburg, VA 22405 | </w:t>
    </w:r>
    <w:hyperlink r:id="rId2" w:tgtFrame="_blank" w:history="1">
      <w:r w:rsidRPr="008038EE">
        <w:rPr>
          <w:rStyle w:val="Hyperlink"/>
          <w:rFonts w:ascii="Quicksand Book Regular" w:eastAsia="Times New Roman" w:hAnsi="Quicksand Book Regular"/>
          <w:color w:val="000000" w:themeColor="text1"/>
          <w:sz w:val="18"/>
          <w:szCs w:val="18"/>
          <w:u w:val="none"/>
        </w:rPr>
        <w:t>(540) 899-6545</w:t>
      </w:r>
    </w:hyperlink>
    <w:r w:rsidRPr="005F4D16">
      <w:rPr>
        <w:noProof/>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7776000" cy="4608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121A8A" w:rsidRDefault="00121A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A8A" w:rsidRDefault="00121A8A" w:rsidP="00121A8A">
      <w:pPr>
        <w:spacing w:after="0" w:line="240" w:lineRule="auto"/>
      </w:pPr>
      <w:r>
        <w:separator/>
      </w:r>
    </w:p>
  </w:footnote>
  <w:footnote w:type="continuationSeparator" w:id="0">
    <w:p w:rsidR="00121A8A" w:rsidRDefault="00121A8A" w:rsidP="00121A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characterSpacingControl w:val="doNotCompress"/>
  <w:footnotePr>
    <w:footnote w:id="-1"/>
    <w:footnote w:id="0"/>
  </w:footnotePr>
  <w:endnotePr>
    <w:endnote w:id="-1"/>
    <w:endnote w:id="0"/>
  </w:endnotePr>
  <w:compat>
    <w:useFELayout/>
  </w:compat>
  <w:rsids>
    <w:rsidRoot w:val="005A5602"/>
    <w:rsid w:val="000631E4"/>
    <w:rsid w:val="00084F29"/>
    <w:rsid w:val="000A647E"/>
    <w:rsid w:val="000A72E5"/>
    <w:rsid w:val="000F6CCA"/>
    <w:rsid w:val="001169D4"/>
    <w:rsid w:val="00121A8A"/>
    <w:rsid w:val="0016702B"/>
    <w:rsid w:val="00171F6A"/>
    <w:rsid w:val="001876F3"/>
    <w:rsid w:val="00191783"/>
    <w:rsid w:val="001A0730"/>
    <w:rsid w:val="001A2187"/>
    <w:rsid w:val="001B2B39"/>
    <w:rsid w:val="00257387"/>
    <w:rsid w:val="00282429"/>
    <w:rsid w:val="002A692F"/>
    <w:rsid w:val="002B3EE3"/>
    <w:rsid w:val="00326296"/>
    <w:rsid w:val="00327559"/>
    <w:rsid w:val="00363E19"/>
    <w:rsid w:val="0036448A"/>
    <w:rsid w:val="00395A60"/>
    <w:rsid w:val="003E3EB7"/>
    <w:rsid w:val="00425AD1"/>
    <w:rsid w:val="00447711"/>
    <w:rsid w:val="00490A89"/>
    <w:rsid w:val="004C0174"/>
    <w:rsid w:val="004C066E"/>
    <w:rsid w:val="004E2035"/>
    <w:rsid w:val="005124A5"/>
    <w:rsid w:val="00537829"/>
    <w:rsid w:val="005412E3"/>
    <w:rsid w:val="005478FF"/>
    <w:rsid w:val="00562770"/>
    <w:rsid w:val="00573ABB"/>
    <w:rsid w:val="00575461"/>
    <w:rsid w:val="005A0704"/>
    <w:rsid w:val="005A5602"/>
    <w:rsid w:val="005D5251"/>
    <w:rsid w:val="005E67F7"/>
    <w:rsid w:val="005F2BE6"/>
    <w:rsid w:val="006308E4"/>
    <w:rsid w:val="006503D8"/>
    <w:rsid w:val="00665C78"/>
    <w:rsid w:val="006A0DB6"/>
    <w:rsid w:val="006A12E6"/>
    <w:rsid w:val="00701658"/>
    <w:rsid w:val="007577B7"/>
    <w:rsid w:val="00766897"/>
    <w:rsid w:val="0077063F"/>
    <w:rsid w:val="007A1B06"/>
    <w:rsid w:val="007A4E5A"/>
    <w:rsid w:val="007C59A2"/>
    <w:rsid w:val="007D5DB7"/>
    <w:rsid w:val="007E5218"/>
    <w:rsid w:val="008102E8"/>
    <w:rsid w:val="00813E88"/>
    <w:rsid w:val="00825627"/>
    <w:rsid w:val="008E6A5F"/>
    <w:rsid w:val="008F2BA0"/>
    <w:rsid w:val="008F5DFF"/>
    <w:rsid w:val="008F6563"/>
    <w:rsid w:val="00922F41"/>
    <w:rsid w:val="00925D9A"/>
    <w:rsid w:val="0093158A"/>
    <w:rsid w:val="0093700A"/>
    <w:rsid w:val="009A642A"/>
    <w:rsid w:val="009D7327"/>
    <w:rsid w:val="009F14A1"/>
    <w:rsid w:val="00A062F8"/>
    <w:rsid w:val="00A35683"/>
    <w:rsid w:val="00A862F0"/>
    <w:rsid w:val="00AB07A6"/>
    <w:rsid w:val="00AC7A43"/>
    <w:rsid w:val="00AD17CE"/>
    <w:rsid w:val="00AF3D90"/>
    <w:rsid w:val="00B0723D"/>
    <w:rsid w:val="00B92911"/>
    <w:rsid w:val="00BA43E3"/>
    <w:rsid w:val="00BB5F9B"/>
    <w:rsid w:val="00BD7DCD"/>
    <w:rsid w:val="00C10A98"/>
    <w:rsid w:val="00C17173"/>
    <w:rsid w:val="00C44C4B"/>
    <w:rsid w:val="00C75CD1"/>
    <w:rsid w:val="00C938E6"/>
    <w:rsid w:val="00CF4B67"/>
    <w:rsid w:val="00D00E28"/>
    <w:rsid w:val="00D05FDB"/>
    <w:rsid w:val="00D069DD"/>
    <w:rsid w:val="00D15A66"/>
    <w:rsid w:val="00DB5BDA"/>
    <w:rsid w:val="00DC2A9C"/>
    <w:rsid w:val="00DC560D"/>
    <w:rsid w:val="00E031F7"/>
    <w:rsid w:val="00E36135"/>
    <w:rsid w:val="00E74D06"/>
    <w:rsid w:val="00EA209C"/>
    <w:rsid w:val="00EA46DC"/>
    <w:rsid w:val="00EA4BBC"/>
    <w:rsid w:val="00EA7DBC"/>
    <w:rsid w:val="00EC3A0A"/>
    <w:rsid w:val="00F21F53"/>
    <w:rsid w:val="00F53967"/>
    <w:rsid w:val="00F54F11"/>
    <w:rsid w:val="00F77183"/>
    <w:rsid w:val="00FA0AB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D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09C"/>
    <w:rPr>
      <w:color w:val="095197"/>
      <w:u w:val="single"/>
    </w:rPr>
  </w:style>
  <w:style w:type="character" w:styleId="FollowedHyperlink">
    <w:name w:val="FollowedHyperlink"/>
    <w:basedOn w:val="DefaultParagraphFont"/>
    <w:uiPriority w:val="99"/>
    <w:semiHidden/>
    <w:unhideWhenUsed/>
    <w:rsid w:val="00395A60"/>
    <w:rPr>
      <w:color w:val="800080" w:themeColor="followedHyperlink"/>
      <w:u w:val="single"/>
    </w:rPr>
  </w:style>
  <w:style w:type="character" w:customStyle="1" w:styleId="apple-converted-space">
    <w:name w:val="apple-converted-space"/>
    <w:basedOn w:val="DefaultParagraphFont"/>
    <w:rsid w:val="00D069DD"/>
  </w:style>
  <w:style w:type="character" w:styleId="CommentReference">
    <w:name w:val="annotation reference"/>
    <w:basedOn w:val="DefaultParagraphFont"/>
    <w:uiPriority w:val="99"/>
    <w:semiHidden/>
    <w:unhideWhenUsed/>
    <w:rsid w:val="007C59A2"/>
    <w:rPr>
      <w:sz w:val="16"/>
      <w:szCs w:val="16"/>
    </w:rPr>
  </w:style>
  <w:style w:type="paragraph" w:styleId="CommentText">
    <w:name w:val="annotation text"/>
    <w:basedOn w:val="Normal"/>
    <w:link w:val="CommentTextChar"/>
    <w:uiPriority w:val="99"/>
    <w:semiHidden/>
    <w:unhideWhenUsed/>
    <w:rsid w:val="007C59A2"/>
    <w:pPr>
      <w:spacing w:line="240" w:lineRule="auto"/>
    </w:pPr>
    <w:rPr>
      <w:sz w:val="20"/>
      <w:szCs w:val="20"/>
    </w:rPr>
  </w:style>
  <w:style w:type="character" w:customStyle="1" w:styleId="CommentTextChar">
    <w:name w:val="Comment Text Char"/>
    <w:basedOn w:val="DefaultParagraphFont"/>
    <w:link w:val="CommentText"/>
    <w:uiPriority w:val="99"/>
    <w:semiHidden/>
    <w:rsid w:val="007C59A2"/>
    <w:rPr>
      <w:sz w:val="20"/>
      <w:szCs w:val="20"/>
    </w:rPr>
  </w:style>
  <w:style w:type="paragraph" w:styleId="CommentSubject">
    <w:name w:val="annotation subject"/>
    <w:basedOn w:val="CommentText"/>
    <w:next w:val="CommentText"/>
    <w:link w:val="CommentSubjectChar"/>
    <w:uiPriority w:val="99"/>
    <w:semiHidden/>
    <w:unhideWhenUsed/>
    <w:rsid w:val="007C59A2"/>
    <w:rPr>
      <w:b/>
      <w:bCs/>
    </w:rPr>
  </w:style>
  <w:style w:type="character" w:customStyle="1" w:styleId="CommentSubjectChar">
    <w:name w:val="Comment Subject Char"/>
    <w:basedOn w:val="CommentTextChar"/>
    <w:link w:val="CommentSubject"/>
    <w:uiPriority w:val="99"/>
    <w:semiHidden/>
    <w:rsid w:val="007C59A2"/>
    <w:rPr>
      <w:b/>
      <w:bCs/>
      <w:sz w:val="20"/>
      <w:szCs w:val="20"/>
    </w:rPr>
  </w:style>
  <w:style w:type="paragraph" w:styleId="BalloonText">
    <w:name w:val="Balloon Text"/>
    <w:basedOn w:val="Normal"/>
    <w:link w:val="BalloonTextChar"/>
    <w:uiPriority w:val="99"/>
    <w:semiHidden/>
    <w:unhideWhenUsed/>
    <w:rsid w:val="007C5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9A2"/>
    <w:rPr>
      <w:rFonts w:ascii="Tahoma" w:hAnsi="Tahoma" w:cs="Tahoma"/>
      <w:sz w:val="16"/>
      <w:szCs w:val="16"/>
    </w:rPr>
  </w:style>
  <w:style w:type="paragraph" w:styleId="Header">
    <w:name w:val="header"/>
    <w:basedOn w:val="Normal"/>
    <w:link w:val="HeaderChar"/>
    <w:uiPriority w:val="99"/>
    <w:semiHidden/>
    <w:unhideWhenUsed/>
    <w:rsid w:val="00121A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1A8A"/>
  </w:style>
  <w:style w:type="paragraph" w:styleId="Footer">
    <w:name w:val="footer"/>
    <w:basedOn w:val="Normal"/>
    <w:link w:val="FooterChar"/>
    <w:uiPriority w:val="99"/>
    <w:unhideWhenUsed/>
    <w:rsid w:val="00121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A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09C"/>
    <w:rPr>
      <w:color w:val="095197"/>
      <w:u w:val="single"/>
    </w:rPr>
  </w:style>
  <w:style w:type="character" w:styleId="FollowedHyperlink">
    <w:name w:val="FollowedHyperlink"/>
    <w:basedOn w:val="DefaultParagraphFont"/>
    <w:uiPriority w:val="99"/>
    <w:semiHidden/>
    <w:unhideWhenUsed/>
    <w:rsid w:val="00395A60"/>
    <w:rPr>
      <w:color w:val="800080" w:themeColor="followedHyperlink"/>
      <w:u w:val="single"/>
    </w:rPr>
  </w:style>
  <w:style w:type="character" w:customStyle="1" w:styleId="apple-converted-space">
    <w:name w:val="apple-converted-space"/>
    <w:basedOn w:val="DefaultParagraphFont"/>
    <w:rsid w:val="00D069DD"/>
  </w:style>
  <w:style w:type="character" w:styleId="CommentReference">
    <w:name w:val="annotation reference"/>
    <w:basedOn w:val="DefaultParagraphFont"/>
    <w:uiPriority w:val="99"/>
    <w:semiHidden/>
    <w:unhideWhenUsed/>
    <w:rsid w:val="007C59A2"/>
    <w:rPr>
      <w:sz w:val="16"/>
      <w:szCs w:val="16"/>
    </w:rPr>
  </w:style>
  <w:style w:type="paragraph" w:styleId="CommentText">
    <w:name w:val="annotation text"/>
    <w:basedOn w:val="Normal"/>
    <w:link w:val="CommentTextChar"/>
    <w:uiPriority w:val="99"/>
    <w:semiHidden/>
    <w:unhideWhenUsed/>
    <w:rsid w:val="007C59A2"/>
    <w:pPr>
      <w:spacing w:line="240" w:lineRule="auto"/>
    </w:pPr>
    <w:rPr>
      <w:sz w:val="20"/>
      <w:szCs w:val="20"/>
    </w:rPr>
  </w:style>
  <w:style w:type="character" w:customStyle="1" w:styleId="CommentTextChar">
    <w:name w:val="Comment Text Char"/>
    <w:basedOn w:val="DefaultParagraphFont"/>
    <w:link w:val="CommentText"/>
    <w:uiPriority w:val="99"/>
    <w:semiHidden/>
    <w:rsid w:val="007C59A2"/>
    <w:rPr>
      <w:sz w:val="20"/>
      <w:szCs w:val="20"/>
    </w:rPr>
  </w:style>
  <w:style w:type="paragraph" w:styleId="CommentSubject">
    <w:name w:val="annotation subject"/>
    <w:basedOn w:val="CommentText"/>
    <w:next w:val="CommentText"/>
    <w:link w:val="CommentSubjectChar"/>
    <w:uiPriority w:val="99"/>
    <w:semiHidden/>
    <w:unhideWhenUsed/>
    <w:rsid w:val="007C59A2"/>
    <w:rPr>
      <w:b/>
      <w:bCs/>
    </w:rPr>
  </w:style>
  <w:style w:type="character" w:customStyle="1" w:styleId="CommentSubjectChar">
    <w:name w:val="Comment Subject Char"/>
    <w:basedOn w:val="CommentTextChar"/>
    <w:link w:val="CommentSubject"/>
    <w:uiPriority w:val="99"/>
    <w:semiHidden/>
    <w:rsid w:val="007C59A2"/>
    <w:rPr>
      <w:b/>
      <w:bCs/>
      <w:sz w:val="20"/>
      <w:szCs w:val="20"/>
    </w:rPr>
  </w:style>
  <w:style w:type="paragraph" w:styleId="BalloonText">
    <w:name w:val="Balloon Text"/>
    <w:basedOn w:val="Normal"/>
    <w:link w:val="BalloonTextChar"/>
    <w:uiPriority w:val="99"/>
    <w:semiHidden/>
    <w:unhideWhenUsed/>
    <w:rsid w:val="007C5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9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eatycouncil.org/" TargetMode="External"/><Relationship Id="rId13" Type="http://schemas.openxmlformats.org/officeDocument/2006/relationships/hyperlink" Target="http://www.ft.com/intl/cms/s/0/a448ade4-661d-11e2-bb67-00144feab49a.html" TargetMode="External"/><Relationship Id="rId18" Type="http://schemas.openxmlformats.org/officeDocument/2006/relationships/hyperlink" Target="http://www.eib.org/about/press/2010/2010-126-european-investment-banks-clarification-of-involvement-in-gibe-3-project-and-commitment-to-east-african-energy-sector.htm" TargetMode="External"/><Relationship Id="rId26" Type="http://schemas.openxmlformats.org/officeDocument/2006/relationships/hyperlink" Target="http://www.coalitionafdb.org/wp-content/uploads/2012/09/Why-A-Standalone-IP-Policy-in-AfDBs-ISS.pdf" TargetMode="External"/><Relationship Id="rId39" Type="http://schemas.openxmlformats.org/officeDocument/2006/relationships/hyperlink" Target="http://www.hakiardhi.org/" TargetMode="External"/><Relationship Id="rId3" Type="http://schemas.openxmlformats.org/officeDocument/2006/relationships/webSettings" Target="webSettings.xml"/><Relationship Id="rId21" Type="http://schemas.openxmlformats.org/officeDocument/2006/relationships/hyperlink" Target="http://www.afdb.org/en/" TargetMode="External"/><Relationship Id="rId34" Type="http://schemas.openxmlformats.org/officeDocument/2006/relationships/hyperlink" Target="http://www.reuters.com/article/2013/01/30/chevron-argentina-idUSL1N0AZF6D20130130" TargetMode="External"/><Relationship Id="rId42" Type="http://schemas.openxmlformats.org/officeDocument/2006/relationships/footer" Target="footer1.xml"/><Relationship Id="rId7" Type="http://schemas.openxmlformats.org/officeDocument/2006/relationships/hyperlink" Target="http://parl.gc.ca/HousePublications/Publication.aspx?Language=E&amp;Mode=1&amp;DocId=5942521" TargetMode="External"/><Relationship Id="rId12" Type="http://schemas.openxmlformats.org/officeDocument/2006/relationships/hyperlink" Target="http://indiancountrytodaymedianetwork.com/2013/02/19/chief-theresa-spence-attawapiskat-and-international-indian-treaty-council-file-urgent" TargetMode="External"/><Relationship Id="rId17" Type="http://schemas.openxmlformats.org/officeDocument/2006/relationships/hyperlink" Target="http://www.internationalrivers.org/files/attached-files/impact_of_gibe_3_final.pdf" TargetMode="External"/><Relationship Id="rId25" Type="http://schemas.openxmlformats.org/officeDocument/2006/relationships/hyperlink" Target="http://www.coalitionafdb.org/" TargetMode="External"/><Relationship Id="rId33" Type="http://schemas.openxmlformats.org/officeDocument/2006/relationships/hyperlink" Target="http://www.scribd.com/doc/116292660/Billenness-Subpoena" TargetMode="External"/><Relationship Id="rId38" Type="http://schemas.openxmlformats.org/officeDocument/2006/relationships/hyperlink" Target="http://www.csrwire.com/press_releases/35294-Chevron-Using-60-Law-Firms-and-2-000-Legal-Personnel-To-Evade-Ecuador-Environmental-Liability-Company-Reports" TargetMode="External"/><Relationship Id="rId2" Type="http://schemas.openxmlformats.org/officeDocument/2006/relationships/settings" Target="settings.xml"/><Relationship Id="rId16" Type="http://schemas.openxmlformats.org/officeDocument/2006/relationships/hyperlink" Target="http://www.eib.org/" TargetMode="External"/><Relationship Id="rId20" Type="http://schemas.openxmlformats.org/officeDocument/2006/relationships/hyperlink" Target="http://www.guardian.co.uk/global-development/2012/feb/23/ethiopia-dam-project-resettlement-concerns" TargetMode="External"/><Relationship Id="rId29" Type="http://schemas.openxmlformats.org/officeDocument/2006/relationships/hyperlink" Target="http://www.techo.org/chile/" TargetMode="External"/><Relationship Id="rId41" Type="http://schemas.openxmlformats.org/officeDocument/2006/relationships/hyperlink" Target="http://www.ipsnews.net/2012/12/curbing-tanzanias-land-grabbing-rac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jdsupra.com/legalnews/alberta-first-nations-challenge-constitu-19104/" TargetMode="External"/><Relationship Id="rId24" Type="http://schemas.openxmlformats.org/officeDocument/2006/relationships/hyperlink" Target="http://www.iadb.org/en/inter-american-development-bank,2837.html" TargetMode="External"/><Relationship Id="rId32" Type="http://schemas.openxmlformats.org/officeDocument/2006/relationships/hyperlink" Target="http://www.oas.org/juridico/english/treaties/b-42.html" TargetMode="External"/><Relationship Id="rId37" Type="http://schemas.openxmlformats.org/officeDocument/2006/relationships/hyperlink" Target="http://www.csrwire.com/blog/posts/674-external-affairs-a-battle-brews-between-chevron-and-shareholders" TargetMode="External"/><Relationship Id="rId40" Type="http://schemas.openxmlformats.org/officeDocument/2006/relationships/hyperlink" Target="http://nhri.ohchr.org/EN/Regional/Africa/Documents/THE%20YAOUNDE%20DECLARATION.pdf" TargetMode="External"/><Relationship Id="rId45"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hyperlink" Target="http://www.cambodiadaily.com/news/ethnic-minorities-risk-more-than-just-land-6483/" TargetMode="External"/><Relationship Id="rId23" Type="http://schemas.openxmlformats.org/officeDocument/2006/relationships/hyperlink" Target="http://www.eib.org" TargetMode="External"/><Relationship Id="rId28" Type="http://schemas.openxmlformats.org/officeDocument/2006/relationships/hyperlink" Target="http://www.apanews.net/spip.php?article193858" TargetMode="External"/><Relationship Id="rId36" Type="http://schemas.openxmlformats.org/officeDocument/2006/relationships/hyperlink" Target="http://www.csrwire.com/press_releases/35219-U-S-Federal-Appeals-Court-Deals-Chevron-Another-Setback-in-19-Billion-Ecuador-Case?tracking_user=npelosi@firstpeoples.org&amp;tracking_source=email" TargetMode="External"/><Relationship Id="rId10" Type="http://schemas.openxmlformats.org/officeDocument/2006/relationships/hyperlink" Target="http://www2.ohchr.org/english/law/cerd.htm" TargetMode="External"/><Relationship Id="rId19" Type="http://schemas.openxmlformats.org/officeDocument/2006/relationships/hyperlink" Target="http://newswatch.nationalgeographic.com/2013/01/11/ethiopian-dam-threatens-to-destroy-indigenous-livelihoods-and-the-worlds-largest-desert-lake/" TargetMode="External"/><Relationship Id="rId31" Type="http://schemas.openxmlformats.org/officeDocument/2006/relationships/hyperlink" Target="http://www.nytimes.com/2012/01/04/world/americas/ecuador-18-billion-ruling-against-chevron-is-upheld.html"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2.ohchr.org/english/bodies/cerd/" TargetMode="External"/><Relationship Id="rId14" Type="http://schemas.openxmlformats.org/officeDocument/2006/relationships/hyperlink" Target="http://www.ipsnews.net/2013/02/native-peoples-say-no-consultations-no-concessions/?utm_source=dlvr.it&amp;utm_medium=twitter" TargetMode="External"/><Relationship Id="rId22" Type="http://schemas.openxmlformats.org/officeDocument/2006/relationships/hyperlink" Target="http://www.worldbank.org/" TargetMode="External"/><Relationship Id="rId27" Type="http://schemas.openxmlformats.org/officeDocument/2006/relationships/hyperlink" Target="http://www.coalitionafdb.org/indigenous-peoples-rights/" TargetMode="External"/><Relationship Id="rId30" Type="http://schemas.openxmlformats.org/officeDocument/2006/relationships/hyperlink" Target="http://corporateknights.com/article/too-close-comfort?page=show" TargetMode="External"/><Relationship Id="rId35" Type="http://schemas.openxmlformats.org/officeDocument/2006/relationships/hyperlink" Target="http://chevrontoxico.com/news-and-multimedia/2013/0121-chevron-offering-bribes-to-ecuadorian-judge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tel:%28540%29%20899-6545"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npelosi</dc:creator>
  <cp:keywords/>
  <dc:description/>
  <cp:lastModifiedBy>npelosi</cp:lastModifiedBy>
  <cp:revision>6</cp:revision>
  <cp:lastPrinted>2013-03-02T16:41:00Z</cp:lastPrinted>
  <dcterms:created xsi:type="dcterms:W3CDTF">2013-03-04T13:51:00Z</dcterms:created>
  <dcterms:modified xsi:type="dcterms:W3CDTF">2013-03-08T19:20:00Z</dcterms:modified>
</cp:coreProperties>
</file>