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C5D" w:rsidRPr="007671DF" w:rsidRDefault="00234917" w:rsidP="003165FA">
      <w:pPr>
        <w:spacing w:line="360" w:lineRule="auto"/>
        <w:jc w:val="center"/>
        <w:rPr>
          <w:rFonts w:ascii="Times New Roman" w:hAnsi="Times New Roman" w:cs="Times New Roman"/>
          <w:b/>
          <w:sz w:val="32"/>
          <w:szCs w:val="32"/>
        </w:rPr>
      </w:pPr>
      <w:r w:rsidRPr="00234917">
        <w:rPr>
          <w:rFonts w:ascii="Times New Roman" w:hAnsi="Times New Roman" w:cs="Times New Roman"/>
          <w:b/>
          <w:sz w:val="32"/>
          <w:szCs w:val="32"/>
        </w:rPr>
        <w:drawing>
          <wp:anchor distT="0" distB="0" distL="114300" distR="114300" simplePos="0" relativeHeight="251659264" behindDoc="0" locked="0" layoutInCell="1" allowOverlap="1">
            <wp:simplePos x="0" y="0"/>
            <wp:positionH relativeFrom="column">
              <wp:posOffset>118202</wp:posOffset>
            </wp:positionH>
            <wp:positionV relativeFrom="paragraph">
              <wp:posOffset>-385590</wp:posOffset>
            </wp:positionV>
            <wp:extent cx="919510" cy="1972019"/>
            <wp:effectExtent l="19050" t="0" r="9495" b="0"/>
            <wp:wrapNone/>
            <wp:docPr id="4" name="Picture 1" descr="S:\First Peoples Worldwide\Pictures\Graphics\Logo\FINAL black 03-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rst Peoples Worldwide\Pictures\Graphics\Logo\FINAL black 03-13-08.jpg"/>
                    <pic:cNvPicPr>
                      <a:picLocks noChangeAspect="1" noChangeArrowheads="1"/>
                    </pic:cNvPicPr>
                  </pic:nvPicPr>
                  <pic:blipFill>
                    <a:blip r:embed="rId6" cstate="print"/>
                    <a:srcRect l="3714" r="78000"/>
                    <a:stretch>
                      <a:fillRect/>
                    </a:stretch>
                  </pic:blipFill>
                  <pic:spPr bwMode="auto">
                    <a:xfrm>
                      <a:off x="0" y="0"/>
                      <a:ext cx="923955" cy="1972019"/>
                    </a:xfrm>
                    <a:prstGeom prst="rect">
                      <a:avLst/>
                    </a:prstGeom>
                    <a:noFill/>
                    <a:ln w="9525">
                      <a:noFill/>
                      <a:miter lim="800000"/>
                      <a:headEnd/>
                      <a:tailEnd/>
                    </a:ln>
                  </pic:spPr>
                </pic:pic>
              </a:graphicData>
            </a:graphic>
          </wp:anchor>
        </w:drawing>
      </w:r>
      <w:r w:rsidR="00B36C5D" w:rsidRPr="007671DF">
        <w:rPr>
          <w:rFonts w:ascii="Times New Roman" w:hAnsi="Times New Roman" w:cs="Times New Roman"/>
          <w:b/>
          <w:sz w:val="32"/>
          <w:szCs w:val="32"/>
        </w:rPr>
        <w:t>FIRST PEOPLES WORLDWIDE</w:t>
      </w:r>
    </w:p>
    <w:p w:rsidR="00B36C5D" w:rsidRPr="007671DF" w:rsidRDefault="00B36C5D" w:rsidP="003165FA">
      <w:pPr>
        <w:spacing w:line="360" w:lineRule="auto"/>
        <w:jc w:val="center"/>
        <w:rPr>
          <w:rFonts w:ascii="Times New Roman" w:hAnsi="Times New Roman" w:cs="Times New Roman"/>
          <w:b/>
          <w:sz w:val="32"/>
          <w:szCs w:val="32"/>
        </w:rPr>
      </w:pPr>
      <w:r w:rsidRPr="007671DF">
        <w:rPr>
          <w:rFonts w:ascii="Times New Roman" w:hAnsi="Times New Roman" w:cs="Times New Roman"/>
          <w:b/>
          <w:sz w:val="32"/>
          <w:szCs w:val="32"/>
        </w:rPr>
        <w:t>CORPORATE MONITOR</w:t>
      </w:r>
    </w:p>
    <w:p w:rsidR="00B36C5D" w:rsidRPr="007671DF" w:rsidRDefault="00B36C5D" w:rsidP="003165FA">
      <w:pPr>
        <w:spacing w:line="360" w:lineRule="auto"/>
        <w:jc w:val="center"/>
        <w:rPr>
          <w:rFonts w:ascii="Times New Roman" w:hAnsi="Times New Roman" w:cs="Times New Roman"/>
          <w:b/>
          <w:sz w:val="32"/>
          <w:szCs w:val="32"/>
        </w:rPr>
      </w:pPr>
      <w:r w:rsidRPr="007671DF">
        <w:rPr>
          <w:rFonts w:ascii="Times New Roman" w:hAnsi="Times New Roman" w:cs="Times New Roman"/>
          <w:b/>
          <w:sz w:val="32"/>
          <w:szCs w:val="32"/>
        </w:rPr>
        <w:t>DECEMBER 2012</w:t>
      </w:r>
    </w:p>
    <w:p w:rsidR="00234917" w:rsidRDefault="00234917" w:rsidP="00FC6AB2">
      <w:pPr>
        <w:spacing w:line="360" w:lineRule="auto"/>
        <w:jc w:val="both"/>
        <w:rPr>
          <w:rFonts w:ascii="Times New Roman" w:hAnsi="Times New Roman" w:cs="Times New Roman"/>
          <w:b/>
          <w:sz w:val="28"/>
          <w:szCs w:val="28"/>
        </w:rPr>
      </w:pPr>
    </w:p>
    <w:p w:rsidR="00FC6AB2" w:rsidRPr="0000551B" w:rsidRDefault="00FC6AB2" w:rsidP="00FC6AB2">
      <w:pPr>
        <w:spacing w:line="360" w:lineRule="auto"/>
        <w:jc w:val="both"/>
        <w:rPr>
          <w:rFonts w:ascii="Times New Roman" w:hAnsi="Times New Roman" w:cs="Times New Roman"/>
          <w:b/>
          <w:sz w:val="28"/>
          <w:szCs w:val="28"/>
        </w:rPr>
      </w:pPr>
      <w:r>
        <w:rPr>
          <w:rFonts w:ascii="Times New Roman" w:hAnsi="Times New Roman" w:cs="Times New Roman"/>
          <w:b/>
          <w:sz w:val="28"/>
          <w:szCs w:val="28"/>
        </w:rPr>
        <w:t>Rising Standards in the Global South –</w:t>
      </w:r>
      <w:r w:rsidRPr="0000551B">
        <w:rPr>
          <w:rFonts w:ascii="Times New Roman" w:hAnsi="Times New Roman" w:cs="Times New Roman"/>
          <w:b/>
          <w:sz w:val="28"/>
          <w:szCs w:val="28"/>
        </w:rPr>
        <w:t xml:space="preserve"> </w:t>
      </w:r>
      <w:r>
        <w:rPr>
          <w:rFonts w:ascii="Times New Roman" w:hAnsi="Times New Roman" w:cs="Times New Roman"/>
          <w:b/>
          <w:sz w:val="28"/>
          <w:szCs w:val="28"/>
        </w:rPr>
        <w:t xml:space="preserve">The </w:t>
      </w:r>
      <w:r w:rsidRPr="0000551B">
        <w:rPr>
          <w:rFonts w:ascii="Times New Roman" w:hAnsi="Times New Roman" w:cs="Times New Roman"/>
          <w:b/>
          <w:sz w:val="28"/>
          <w:szCs w:val="28"/>
        </w:rPr>
        <w:t>Belo Monte</w:t>
      </w:r>
      <w:r>
        <w:rPr>
          <w:rFonts w:ascii="Times New Roman" w:hAnsi="Times New Roman" w:cs="Times New Roman"/>
          <w:b/>
          <w:sz w:val="28"/>
          <w:szCs w:val="28"/>
        </w:rPr>
        <w:t xml:space="preserve"> Dam</w:t>
      </w:r>
    </w:p>
    <w:p w:rsidR="00FC6AB2" w:rsidRDefault="00FC6AB2" w:rsidP="00FC6A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November 26, the </w:t>
      </w:r>
      <w:hyperlink r:id="rId7" w:history="1">
        <w:r w:rsidRPr="00DE4E9D">
          <w:rPr>
            <w:rStyle w:val="Hyperlink"/>
            <w:rFonts w:ascii="Times New Roman" w:hAnsi="Times New Roman" w:cs="Times New Roman"/>
            <w:sz w:val="24"/>
            <w:szCs w:val="24"/>
          </w:rPr>
          <w:t>Brazilian National Development Bank</w:t>
        </w:r>
      </w:hyperlink>
      <w:r>
        <w:rPr>
          <w:rFonts w:ascii="Times New Roman" w:hAnsi="Times New Roman" w:cs="Times New Roman"/>
          <w:sz w:val="24"/>
          <w:szCs w:val="24"/>
        </w:rPr>
        <w:t xml:space="preserve"> (BNDES) approved a $US</w:t>
      </w:r>
      <w:r w:rsidR="00FC3AE6">
        <w:rPr>
          <w:rFonts w:ascii="Times New Roman" w:hAnsi="Times New Roman" w:cs="Times New Roman"/>
          <w:sz w:val="24"/>
          <w:szCs w:val="24"/>
        </w:rPr>
        <w:t>22</w:t>
      </w:r>
      <w:r>
        <w:rPr>
          <w:rFonts w:ascii="Times New Roman" w:hAnsi="Times New Roman" w:cs="Times New Roman"/>
          <w:sz w:val="24"/>
          <w:szCs w:val="24"/>
        </w:rPr>
        <w:t>.</w:t>
      </w:r>
      <w:r w:rsidR="00FC3AE6">
        <w:rPr>
          <w:rFonts w:ascii="Times New Roman" w:hAnsi="Times New Roman" w:cs="Times New Roman"/>
          <w:sz w:val="24"/>
          <w:szCs w:val="24"/>
        </w:rPr>
        <w:t>5</w:t>
      </w:r>
      <w:r>
        <w:rPr>
          <w:rFonts w:ascii="Times New Roman" w:hAnsi="Times New Roman" w:cs="Times New Roman"/>
          <w:sz w:val="24"/>
          <w:szCs w:val="24"/>
        </w:rPr>
        <w:t xml:space="preserve"> billion loan to finance construction of the Belo Monte Dam in Brazil, the world’s third largest hydroelectric dam.  Approximately 11 percent of the loan (US$</w:t>
      </w:r>
      <w:r w:rsidR="00FC3AE6">
        <w:rPr>
          <w:rFonts w:ascii="Times New Roman" w:hAnsi="Times New Roman" w:cs="Times New Roman"/>
          <w:sz w:val="24"/>
          <w:szCs w:val="24"/>
        </w:rPr>
        <w:t>3</w:t>
      </w:r>
      <w:r>
        <w:rPr>
          <w:rFonts w:ascii="Times New Roman" w:hAnsi="Times New Roman" w:cs="Times New Roman"/>
          <w:sz w:val="24"/>
          <w:szCs w:val="24"/>
        </w:rPr>
        <w:t>.</w:t>
      </w:r>
      <w:r w:rsidR="00FC3AE6">
        <w:rPr>
          <w:rFonts w:ascii="Times New Roman" w:hAnsi="Times New Roman" w:cs="Times New Roman"/>
          <w:sz w:val="24"/>
          <w:szCs w:val="24"/>
        </w:rPr>
        <w:t>2</w:t>
      </w:r>
      <w:r>
        <w:rPr>
          <w:rFonts w:ascii="Times New Roman" w:hAnsi="Times New Roman" w:cs="Times New Roman"/>
          <w:sz w:val="24"/>
          <w:szCs w:val="24"/>
        </w:rPr>
        <w:t xml:space="preserve"> billion) was designated specifically for social and environmental programs, the largest ever investment by BNDES for such purposes.</w:t>
      </w:r>
    </w:p>
    <w:p w:rsidR="00FC6AB2" w:rsidRDefault="00FC6AB2" w:rsidP="00FC6AB2">
      <w:pPr>
        <w:spacing w:line="360" w:lineRule="auto"/>
        <w:jc w:val="both"/>
        <w:rPr>
          <w:rFonts w:ascii="Times New Roman" w:hAnsi="Times New Roman" w:cs="Times New Roman"/>
          <w:sz w:val="24"/>
          <w:szCs w:val="24"/>
        </w:rPr>
      </w:pPr>
      <w:r>
        <w:rPr>
          <w:rFonts w:ascii="Times New Roman" w:hAnsi="Times New Roman" w:cs="Times New Roman"/>
          <w:sz w:val="24"/>
          <w:szCs w:val="24"/>
        </w:rPr>
        <w:t>The dam, w</w:t>
      </w:r>
      <w:r w:rsidRPr="00C8678F">
        <w:rPr>
          <w:rFonts w:ascii="Times New Roman" w:hAnsi="Times New Roman" w:cs="Times New Roman"/>
          <w:sz w:val="24"/>
          <w:szCs w:val="24"/>
        </w:rPr>
        <w:t>hich was authorized by the Brazilian government without an environmental impact assessment</w:t>
      </w:r>
      <w:r>
        <w:rPr>
          <w:rFonts w:ascii="Times New Roman" w:hAnsi="Times New Roman" w:cs="Times New Roman"/>
          <w:sz w:val="24"/>
          <w:szCs w:val="24"/>
        </w:rPr>
        <w:t xml:space="preserve"> or Free, Prior, and Informed Consent from affected communities</w:t>
      </w:r>
      <w:r w:rsidRPr="00C8678F">
        <w:rPr>
          <w:rFonts w:ascii="Times New Roman" w:hAnsi="Times New Roman" w:cs="Times New Roman"/>
          <w:sz w:val="24"/>
          <w:szCs w:val="24"/>
        </w:rPr>
        <w:t>,</w:t>
      </w:r>
      <w:r>
        <w:rPr>
          <w:rFonts w:ascii="Times New Roman" w:hAnsi="Times New Roman" w:cs="Times New Roman"/>
          <w:sz w:val="24"/>
          <w:szCs w:val="24"/>
        </w:rPr>
        <w:t xml:space="preserve"> has been the subject of 53 judicial actions in Brazil, and construction was suspended at least five times in 2012 alone.  The conditions of the BNDES loan indicate that the dam’s social and environmental consequences have reached levels not anticipated during the planning process</w:t>
      </w:r>
      <w:r w:rsidR="00D0127C">
        <w:rPr>
          <w:rFonts w:ascii="Times New Roman" w:hAnsi="Times New Roman" w:cs="Times New Roman"/>
          <w:sz w:val="24"/>
          <w:szCs w:val="24"/>
        </w:rPr>
        <w:t xml:space="preserve">, and that national development institutions in the Global South are making </w:t>
      </w:r>
      <w:r w:rsidR="00DB14DD">
        <w:rPr>
          <w:rFonts w:ascii="Times New Roman" w:hAnsi="Times New Roman" w:cs="Times New Roman"/>
          <w:sz w:val="24"/>
          <w:szCs w:val="24"/>
        </w:rPr>
        <w:t xml:space="preserve">the same concessions to human rights </w:t>
      </w:r>
      <w:r w:rsidR="00EF6081">
        <w:rPr>
          <w:rFonts w:ascii="Times New Roman" w:hAnsi="Times New Roman" w:cs="Times New Roman"/>
          <w:sz w:val="24"/>
          <w:szCs w:val="24"/>
        </w:rPr>
        <w:t xml:space="preserve">as </w:t>
      </w:r>
      <w:r w:rsidR="00DB14DD">
        <w:rPr>
          <w:rFonts w:ascii="Times New Roman" w:hAnsi="Times New Roman" w:cs="Times New Roman"/>
          <w:sz w:val="24"/>
          <w:szCs w:val="24"/>
        </w:rPr>
        <w:t xml:space="preserve">many </w:t>
      </w:r>
      <w:r w:rsidR="00D0127C">
        <w:rPr>
          <w:rFonts w:ascii="Times New Roman" w:hAnsi="Times New Roman" w:cs="Times New Roman"/>
          <w:sz w:val="24"/>
          <w:szCs w:val="24"/>
        </w:rPr>
        <w:t>multinational and private lenders</w:t>
      </w:r>
      <w:r>
        <w:rPr>
          <w:rFonts w:ascii="Times New Roman" w:hAnsi="Times New Roman" w:cs="Times New Roman"/>
          <w:sz w:val="24"/>
          <w:szCs w:val="24"/>
        </w:rPr>
        <w:t>.</w:t>
      </w:r>
    </w:p>
    <w:p w:rsidR="00FC6AB2" w:rsidRDefault="00FC6AB2" w:rsidP="00FC6AB2">
      <w:pPr>
        <w:spacing w:line="360" w:lineRule="auto"/>
        <w:jc w:val="both"/>
        <w:rPr>
          <w:rFonts w:ascii="Times New Roman" w:hAnsi="Times New Roman" w:cs="Times New Roman"/>
          <w:sz w:val="24"/>
          <w:szCs w:val="24"/>
        </w:rPr>
      </w:pPr>
      <w:r w:rsidRPr="00C8678F">
        <w:rPr>
          <w:rFonts w:ascii="Times New Roman" w:hAnsi="Times New Roman" w:cs="Times New Roman"/>
          <w:sz w:val="24"/>
          <w:szCs w:val="24"/>
        </w:rPr>
        <w:t>Sources:</w:t>
      </w:r>
      <w:r w:rsidRPr="00DE4E9D">
        <w:rPr>
          <w:rFonts w:ascii="Times New Roman" w:hAnsi="Times New Roman" w:cs="Times New Roman"/>
          <w:sz w:val="24"/>
          <w:szCs w:val="24"/>
        </w:rPr>
        <w:t xml:space="preserve"> </w:t>
      </w:r>
      <w:hyperlink r:id="rId8" w:history="1">
        <w:r w:rsidRPr="00DE4E9D">
          <w:rPr>
            <w:rStyle w:val="Hyperlink"/>
            <w:rFonts w:ascii="Times New Roman" w:hAnsi="Times New Roman" w:cs="Times New Roman"/>
            <w:sz w:val="24"/>
            <w:szCs w:val="24"/>
          </w:rPr>
          <w:t>Foley Hoag</w:t>
        </w:r>
      </w:hyperlink>
    </w:p>
    <w:p w:rsidR="00FC6AB2" w:rsidRPr="0000551B" w:rsidRDefault="00FC6AB2" w:rsidP="00FC6AB2">
      <w:pPr>
        <w:spacing w:line="360" w:lineRule="auto"/>
        <w:jc w:val="both"/>
        <w:rPr>
          <w:rFonts w:ascii="Times New Roman" w:hAnsi="Times New Roman" w:cs="Times New Roman"/>
          <w:b/>
          <w:sz w:val="28"/>
          <w:szCs w:val="28"/>
        </w:rPr>
      </w:pPr>
      <w:r>
        <w:rPr>
          <w:rFonts w:ascii="Times New Roman" w:hAnsi="Times New Roman" w:cs="Times New Roman"/>
          <w:b/>
          <w:sz w:val="28"/>
          <w:szCs w:val="28"/>
        </w:rPr>
        <w:t>Rising Standards in t</w:t>
      </w:r>
      <w:r w:rsidR="00485AF0">
        <w:rPr>
          <w:rFonts w:ascii="Times New Roman" w:hAnsi="Times New Roman" w:cs="Times New Roman"/>
          <w:b/>
          <w:sz w:val="28"/>
          <w:szCs w:val="28"/>
        </w:rPr>
        <w:t>he Global South – China Requiring</w:t>
      </w:r>
      <w:r>
        <w:rPr>
          <w:rFonts w:ascii="Times New Roman" w:hAnsi="Times New Roman" w:cs="Times New Roman"/>
          <w:b/>
          <w:sz w:val="28"/>
          <w:szCs w:val="28"/>
        </w:rPr>
        <w:t xml:space="preserve"> Risk Assessments</w:t>
      </w:r>
    </w:p>
    <w:p w:rsidR="00FC6AB2" w:rsidRPr="00C8678F" w:rsidRDefault="00FC6AB2" w:rsidP="00FC6AB2">
      <w:pPr>
        <w:spacing w:line="360" w:lineRule="auto"/>
        <w:jc w:val="both"/>
        <w:rPr>
          <w:rFonts w:ascii="Times New Roman" w:hAnsi="Times New Roman" w:cs="Times New Roman"/>
          <w:sz w:val="24"/>
          <w:szCs w:val="24"/>
        </w:rPr>
      </w:pPr>
      <w:r w:rsidRPr="00C8678F">
        <w:rPr>
          <w:rFonts w:ascii="Times New Roman" w:hAnsi="Times New Roman" w:cs="Times New Roman"/>
          <w:sz w:val="24"/>
          <w:szCs w:val="24"/>
        </w:rPr>
        <w:t>On November 12</w:t>
      </w:r>
      <w:r w:rsidR="00E83F24">
        <w:rPr>
          <w:rFonts w:ascii="Times New Roman" w:hAnsi="Times New Roman" w:cs="Times New Roman"/>
          <w:sz w:val="24"/>
          <w:szCs w:val="24"/>
        </w:rPr>
        <w:t>, the Chinese government</w:t>
      </w:r>
      <w:r w:rsidRPr="00C8678F">
        <w:rPr>
          <w:rFonts w:ascii="Times New Roman" w:hAnsi="Times New Roman" w:cs="Times New Roman"/>
          <w:sz w:val="24"/>
          <w:szCs w:val="24"/>
        </w:rPr>
        <w:t xml:space="preserve"> announced that all major industrial projects </w:t>
      </w:r>
      <w:r w:rsidR="00E83F24">
        <w:rPr>
          <w:rFonts w:ascii="Times New Roman" w:hAnsi="Times New Roman" w:cs="Times New Roman"/>
          <w:sz w:val="24"/>
          <w:szCs w:val="24"/>
        </w:rPr>
        <w:t xml:space="preserve">in China </w:t>
      </w:r>
      <w:r w:rsidRPr="00C8678F">
        <w:rPr>
          <w:rFonts w:ascii="Times New Roman" w:hAnsi="Times New Roman" w:cs="Times New Roman"/>
          <w:sz w:val="24"/>
          <w:szCs w:val="24"/>
        </w:rPr>
        <w:t xml:space="preserve">must pass a social risk assessment before they begin.  Several Chinese projects were recently suspended or cancelled because of their social impacts on Indigenous Peoples and other local communities. </w:t>
      </w:r>
    </w:p>
    <w:p w:rsidR="00FC6AB2" w:rsidRPr="00C8678F" w:rsidRDefault="00FC6AB2" w:rsidP="00FC6AB2">
      <w:pPr>
        <w:spacing w:line="360" w:lineRule="auto"/>
        <w:jc w:val="both"/>
        <w:rPr>
          <w:rFonts w:ascii="Times New Roman" w:hAnsi="Times New Roman" w:cs="Times New Roman"/>
          <w:sz w:val="24"/>
          <w:szCs w:val="24"/>
        </w:rPr>
      </w:pPr>
      <w:r w:rsidRPr="00C8678F">
        <w:rPr>
          <w:rFonts w:ascii="Times New Roman" w:hAnsi="Times New Roman" w:cs="Times New Roman"/>
          <w:sz w:val="24"/>
          <w:szCs w:val="24"/>
        </w:rPr>
        <w:t xml:space="preserve">In September 2012, the China Power Investment Company’s </w:t>
      </w:r>
      <w:proofErr w:type="spellStart"/>
      <w:r w:rsidRPr="00C8678F">
        <w:rPr>
          <w:rFonts w:ascii="Times New Roman" w:hAnsi="Times New Roman" w:cs="Times New Roman"/>
          <w:sz w:val="24"/>
          <w:szCs w:val="24"/>
        </w:rPr>
        <w:t>Myitsone</w:t>
      </w:r>
      <w:proofErr w:type="spellEnd"/>
      <w:r w:rsidRPr="00C8678F">
        <w:rPr>
          <w:rFonts w:ascii="Times New Roman" w:hAnsi="Times New Roman" w:cs="Times New Roman"/>
          <w:sz w:val="24"/>
          <w:szCs w:val="24"/>
        </w:rPr>
        <w:t xml:space="preserve"> Dam in Burma was halted by the Burmese government, because of opposition from </w:t>
      </w:r>
      <w:proofErr w:type="spellStart"/>
      <w:r w:rsidRPr="00C8678F">
        <w:rPr>
          <w:rFonts w:ascii="Times New Roman" w:hAnsi="Times New Roman" w:cs="Times New Roman"/>
          <w:sz w:val="24"/>
          <w:szCs w:val="24"/>
        </w:rPr>
        <w:t>Kachin</w:t>
      </w:r>
      <w:proofErr w:type="spellEnd"/>
      <w:r w:rsidRPr="00C8678F">
        <w:rPr>
          <w:rFonts w:ascii="Times New Roman" w:hAnsi="Times New Roman" w:cs="Times New Roman"/>
          <w:sz w:val="24"/>
          <w:szCs w:val="24"/>
        </w:rPr>
        <w:t xml:space="preserve"> villagers who were to be forcibl</w:t>
      </w:r>
      <w:r w:rsidR="00931ACF">
        <w:rPr>
          <w:rFonts w:ascii="Times New Roman" w:hAnsi="Times New Roman" w:cs="Times New Roman"/>
          <w:sz w:val="24"/>
          <w:szCs w:val="24"/>
        </w:rPr>
        <w:t>y</w:t>
      </w:r>
      <w:r w:rsidRPr="00C8678F">
        <w:rPr>
          <w:rFonts w:ascii="Times New Roman" w:hAnsi="Times New Roman" w:cs="Times New Roman"/>
          <w:sz w:val="24"/>
          <w:szCs w:val="24"/>
        </w:rPr>
        <w:t xml:space="preserve"> relocated by the project.  Also in September 2012, protests by </w:t>
      </w:r>
      <w:proofErr w:type="spellStart"/>
      <w:r w:rsidRPr="00C8678F">
        <w:rPr>
          <w:rFonts w:ascii="Times New Roman" w:hAnsi="Times New Roman" w:cs="Times New Roman"/>
          <w:sz w:val="24"/>
          <w:szCs w:val="24"/>
        </w:rPr>
        <w:t>Penan</w:t>
      </w:r>
      <w:proofErr w:type="spellEnd"/>
      <w:r w:rsidRPr="00C8678F">
        <w:rPr>
          <w:rFonts w:ascii="Times New Roman" w:hAnsi="Times New Roman" w:cs="Times New Roman"/>
          <w:sz w:val="24"/>
          <w:szCs w:val="24"/>
        </w:rPr>
        <w:t xml:space="preserve"> and </w:t>
      </w:r>
      <w:proofErr w:type="spellStart"/>
      <w:r w:rsidRPr="00C8678F">
        <w:rPr>
          <w:rFonts w:ascii="Times New Roman" w:hAnsi="Times New Roman" w:cs="Times New Roman"/>
          <w:sz w:val="24"/>
          <w:szCs w:val="24"/>
        </w:rPr>
        <w:t>Kenyah</w:t>
      </w:r>
      <w:proofErr w:type="spellEnd"/>
      <w:r w:rsidRPr="00C8678F">
        <w:rPr>
          <w:rFonts w:ascii="Times New Roman" w:hAnsi="Times New Roman" w:cs="Times New Roman"/>
          <w:sz w:val="24"/>
          <w:szCs w:val="24"/>
        </w:rPr>
        <w:t xml:space="preserve"> </w:t>
      </w:r>
      <w:r w:rsidRPr="00C8678F">
        <w:rPr>
          <w:rFonts w:ascii="Times New Roman" w:hAnsi="Times New Roman" w:cs="Times New Roman"/>
          <w:sz w:val="24"/>
          <w:szCs w:val="24"/>
        </w:rPr>
        <w:lastRenderedPageBreak/>
        <w:t xml:space="preserve">villagers suspended construction of the </w:t>
      </w:r>
      <w:proofErr w:type="spellStart"/>
      <w:r w:rsidRPr="00C8678F">
        <w:rPr>
          <w:rFonts w:ascii="Times New Roman" w:hAnsi="Times New Roman" w:cs="Times New Roman"/>
          <w:sz w:val="24"/>
          <w:szCs w:val="24"/>
        </w:rPr>
        <w:t>Murum</w:t>
      </w:r>
      <w:proofErr w:type="spellEnd"/>
      <w:r w:rsidRPr="00C8678F">
        <w:rPr>
          <w:rFonts w:ascii="Times New Roman" w:hAnsi="Times New Roman" w:cs="Times New Roman"/>
          <w:sz w:val="24"/>
          <w:szCs w:val="24"/>
        </w:rPr>
        <w:t xml:space="preserve"> Dam in Malaysia, the first international project of the China Three Gorges Corporation.  In October 2012, the Chinese government cancelled plans to expand a petrochemical plant in Ningbo, after three days of demonstrations by local residents.</w:t>
      </w:r>
    </w:p>
    <w:p w:rsidR="00AA0472" w:rsidRPr="00485AF0" w:rsidRDefault="00485AF0" w:rsidP="00485AF0">
      <w:pPr>
        <w:spacing w:line="360" w:lineRule="auto"/>
        <w:jc w:val="both"/>
        <w:rPr>
          <w:rFonts w:ascii="Times New Roman" w:hAnsi="Times New Roman" w:cs="Times New Roman"/>
          <w:sz w:val="24"/>
          <w:szCs w:val="24"/>
          <w:vertAlign w:val="subscript"/>
        </w:rPr>
      </w:pPr>
      <w:r>
        <w:rPr>
          <w:rFonts w:ascii="Times New Roman" w:hAnsi="Times New Roman" w:cs="Times New Roman"/>
          <w:sz w:val="24"/>
          <w:szCs w:val="24"/>
        </w:rPr>
        <w:t xml:space="preserve">According to </w:t>
      </w:r>
      <w:hyperlink r:id="rId9" w:history="1">
        <w:r w:rsidRPr="00C8678F">
          <w:rPr>
            <w:rStyle w:val="Hyperlink"/>
            <w:rFonts w:ascii="Times New Roman" w:hAnsi="Times New Roman" w:cs="Times New Roman"/>
            <w:sz w:val="24"/>
            <w:szCs w:val="24"/>
          </w:rPr>
          <w:t>Foley Hoag</w:t>
        </w:r>
      </w:hyperlink>
      <w:r w:rsidRPr="00C8678F">
        <w:rPr>
          <w:rFonts w:ascii="Times New Roman" w:hAnsi="Times New Roman" w:cs="Times New Roman"/>
          <w:sz w:val="24"/>
          <w:szCs w:val="24"/>
        </w:rPr>
        <w:t>,</w:t>
      </w:r>
      <w:r>
        <w:rPr>
          <w:rFonts w:ascii="Times New Roman" w:hAnsi="Times New Roman" w:cs="Times New Roman"/>
          <w:sz w:val="24"/>
          <w:szCs w:val="24"/>
        </w:rPr>
        <w:t xml:space="preserve"> the decision is aimed at reducing these costly holdups, rather than obtaining legitimate public support for development.  For this reason, the assessments’ effectiveness in reducing costs and strengthening social stability is questionable.</w:t>
      </w:r>
    </w:p>
    <w:p w:rsidR="00FC6AB2" w:rsidRDefault="00FC6AB2" w:rsidP="00FC6AB2">
      <w:pPr>
        <w:spacing w:line="360" w:lineRule="auto"/>
        <w:jc w:val="both"/>
      </w:pPr>
      <w:r w:rsidRPr="00C8678F">
        <w:rPr>
          <w:rFonts w:ascii="Times New Roman" w:hAnsi="Times New Roman" w:cs="Times New Roman"/>
          <w:sz w:val="24"/>
          <w:szCs w:val="24"/>
        </w:rPr>
        <w:t xml:space="preserve">Sources: </w:t>
      </w:r>
      <w:hyperlink r:id="rId10" w:history="1">
        <w:r w:rsidRPr="00C8678F">
          <w:rPr>
            <w:rStyle w:val="Hyperlink"/>
            <w:rFonts w:ascii="Times New Roman" w:hAnsi="Times New Roman" w:cs="Times New Roman"/>
            <w:sz w:val="24"/>
            <w:szCs w:val="24"/>
          </w:rPr>
          <w:t>New York Times</w:t>
        </w:r>
      </w:hyperlink>
      <w:r w:rsidRPr="00C8678F">
        <w:rPr>
          <w:rFonts w:ascii="Times New Roman" w:hAnsi="Times New Roman" w:cs="Times New Roman"/>
          <w:sz w:val="24"/>
          <w:szCs w:val="24"/>
        </w:rPr>
        <w:t xml:space="preserve">, </w:t>
      </w:r>
      <w:hyperlink r:id="rId11" w:history="1">
        <w:r w:rsidRPr="00C8678F">
          <w:rPr>
            <w:rStyle w:val="Hyperlink"/>
            <w:rFonts w:ascii="Times New Roman" w:hAnsi="Times New Roman" w:cs="Times New Roman"/>
            <w:sz w:val="24"/>
            <w:szCs w:val="24"/>
          </w:rPr>
          <w:t>New York Times</w:t>
        </w:r>
      </w:hyperlink>
      <w:r w:rsidRPr="00C8678F">
        <w:rPr>
          <w:rFonts w:ascii="Times New Roman" w:hAnsi="Times New Roman" w:cs="Times New Roman"/>
          <w:sz w:val="24"/>
          <w:szCs w:val="24"/>
        </w:rPr>
        <w:t xml:space="preserve">, </w:t>
      </w:r>
      <w:hyperlink r:id="rId12" w:history="1">
        <w:r w:rsidRPr="00C8678F">
          <w:rPr>
            <w:rStyle w:val="Hyperlink"/>
            <w:rFonts w:ascii="Times New Roman" w:hAnsi="Times New Roman" w:cs="Times New Roman"/>
            <w:sz w:val="24"/>
            <w:szCs w:val="24"/>
          </w:rPr>
          <w:t>Foley Hoag</w:t>
        </w:r>
      </w:hyperlink>
      <w:r w:rsidRPr="00C8678F">
        <w:rPr>
          <w:rFonts w:ascii="Times New Roman" w:hAnsi="Times New Roman" w:cs="Times New Roman"/>
          <w:sz w:val="24"/>
          <w:szCs w:val="24"/>
        </w:rPr>
        <w:t xml:space="preserve">, </w:t>
      </w:r>
      <w:hyperlink r:id="rId13" w:history="1">
        <w:proofErr w:type="spellStart"/>
        <w:r w:rsidRPr="00C8678F">
          <w:rPr>
            <w:rStyle w:val="Hyperlink"/>
            <w:rFonts w:ascii="Times New Roman" w:hAnsi="Times New Roman" w:cs="Times New Roman"/>
            <w:sz w:val="24"/>
            <w:szCs w:val="24"/>
          </w:rPr>
          <w:t>Kachin</w:t>
        </w:r>
        <w:proofErr w:type="spellEnd"/>
        <w:r w:rsidRPr="00C8678F">
          <w:rPr>
            <w:rStyle w:val="Hyperlink"/>
            <w:rFonts w:ascii="Times New Roman" w:hAnsi="Times New Roman" w:cs="Times New Roman"/>
            <w:sz w:val="24"/>
            <w:szCs w:val="24"/>
          </w:rPr>
          <w:t xml:space="preserve"> News</w:t>
        </w:r>
      </w:hyperlink>
    </w:p>
    <w:p w:rsidR="00D44875" w:rsidRPr="0000551B" w:rsidRDefault="00F529BC" w:rsidP="003165FA">
      <w:pPr>
        <w:spacing w:line="360" w:lineRule="auto"/>
        <w:jc w:val="both"/>
        <w:rPr>
          <w:rFonts w:ascii="Times New Roman" w:hAnsi="Times New Roman" w:cs="Times New Roman"/>
          <w:b/>
          <w:sz w:val="28"/>
          <w:szCs w:val="28"/>
        </w:rPr>
      </w:pPr>
      <w:r>
        <w:rPr>
          <w:rFonts w:ascii="Times New Roman" w:hAnsi="Times New Roman" w:cs="Times New Roman"/>
          <w:b/>
          <w:sz w:val="28"/>
          <w:szCs w:val="28"/>
        </w:rPr>
        <w:t>Opportunities for</w:t>
      </w:r>
      <w:r w:rsidR="008D2242">
        <w:rPr>
          <w:rFonts w:ascii="Times New Roman" w:hAnsi="Times New Roman" w:cs="Times New Roman"/>
          <w:b/>
          <w:sz w:val="28"/>
          <w:szCs w:val="28"/>
        </w:rPr>
        <w:t xml:space="preserve"> Business with </w:t>
      </w:r>
      <w:r w:rsidR="00485AF0">
        <w:rPr>
          <w:rFonts w:ascii="Times New Roman" w:hAnsi="Times New Roman" w:cs="Times New Roman"/>
          <w:b/>
          <w:sz w:val="28"/>
          <w:szCs w:val="28"/>
        </w:rPr>
        <w:t xml:space="preserve">Indigenous </w:t>
      </w:r>
      <w:r w:rsidR="008D2242">
        <w:rPr>
          <w:rFonts w:ascii="Times New Roman" w:hAnsi="Times New Roman" w:cs="Times New Roman"/>
          <w:b/>
          <w:sz w:val="28"/>
          <w:szCs w:val="28"/>
        </w:rPr>
        <w:t xml:space="preserve">Peoples </w:t>
      </w:r>
      <w:r w:rsidR="00FC6AB2">
        <w:rPr>
          <w:rFonts w:ascii="Times New Roman" w:hAnsi="Times New Roman" w:cs="Times New Roman"/>
          <w:b/>
          <w:sz w:val="28"/>
          <w:szCs w:val="28"/>
        </w:rPr>
        <w:t xml:space="preserve">- </w:t>
      </w:r>
      <w:r w:rsidR="00D44875" w:rsidRPr="0000551B">
        <w:rPr>
          <w:rFonts w:ascii="Times New Roman" w:hAnsi="Times New Roman" w:cs="Times New Roman"/>
          <w:b/>
          <w:sz w:val="28"/>
          <w:szCs w:val="28"/>
        </w:rPr>
        <w:t>Australia</w:t>
      </w:r>
    </w:p>
    <w:p w:rsidR="00D44875" w:rsidRDefault="00D557F1" w:rsidP="00D44875">
      <w:pPr>
        <w:spacing w:line="360" w:lineRule="auto"/>
        <w:jc w:val="both"/>
        <w:rPr>
          <w:rFonts w:ascii="Times New Roman" w:hAnsi="Times New Roman" w:cs="Times New Roman"/>
          <w:sz w:val="24"/>
          <w:szCs w:val="24"/>
        </w:rPr>
      </w:pPr>
      <w:hyperlink r:id="rId14" w:history="1">
        <w:r w:rsidR="00D44875" w:rsidRPr="009B50F4">
          <w:rPr>
            <w:rStyle w:val="Hyperlink"/>
            <w:rFonts w:ascii="Times New Roman" w:hAnsi="Times New Roman" w:cs="Times New Roman"/>
            <w:sz w:val="24"/>
            <w:szCs w:val="24"/>
          </w:rPr>
          <w:t>Indigenous Business Australia</w:t>
        </w:r>
      </w:hyperlink>
      <w:r w:rsidR="00D44875">
        <w:rPr>
          <w:rFonts w:ascii="Times New Roman" w:hAnsi="Times New Roman" w:cs="Times New Roman"/>
          <w:sz w:val="24"/>
          <w:szCs w:val="24"/>
        </w:rPr>
        <w:t xml:space="preserve"> (IBA), an organization that economically empowers Indigenous Australians through commercial ventures,</w:t>
      </w:r>
      <w:r w:rsidR="00D44875" w:rsidRPr="00AE79A0">
        <w:rPr>
          <w:rFonts w:ascii="Times New Roman" w:hAnsi="Times New Roman" w:cs="Times New Roman"/>
          <w:sz w:val="24"/>
          <w:szCs w:val="24"/>
        </w:rPr>
        <w:t xml:space="preserve"> </w:t>
      </w:r>
      <w:r w:rsidR="00D44875">
        <w:rPr>
          <w:rFonts w:ascii="Times New Roman" w:hAnsi="Times New Roman" w:cs="Times New Roman"/>
          <w:sz w:val="24"/>
          <w:szCs w:val="24"/>
        </w:rPr>
        <w:t xml:space="preserve">reported that the number of Indigenous Australians interested in starting businesses </w:t>
      </w:r>
      <w:r w:rsidR="00485AF0">
        <w:rPr>
          <w:rFonts w:ascii="Times New Roman" w:hAnsi="Times New Roman" w:cs="Times New Roman"/>
          <w:sz w:val="24"/>
          <w:szCs w:val="24"/>
        </w:rPr>
        <w:t xml:space="preserve">through IBA </w:t>
      </w:r>
      <w:r w:rsidR="00D44875">
        <w:rPr>
          <w:rFonts w:ascii="Times New Roman" w:hAnsi="Times New Roman" w:cs="Times New Roman"/>
          <w:sz w:val="24"/>
          <w:szCs w:val="24"/>
        </w:rPr>
        <w:t xml:space="preserve">increased by 30 percent this year.  To </w:t>
      </w:r>
      <w:r w:rsidR="00485AF0">
        <w:rPr>
          <w:rFonts w:ascii="Times New Roman" w:hAnsi="Times New Roman" w:cs="Times New Roman"/>
          <w:sz w:val="24"/>
          <w:szCs w:val="24"/>
        </w:rPr>
        <w:t xml:space="preserve">raise capital to </w:t>
      </w:r>
      <w:r w:rsidR="00D44875">
        <w:rPr>
          <w:rFonts w:ascii="Times New Roman" w:hAnsi="Times New Roman" w:cs="Times New Roman"/>
          <w:sz w:val="24"/>
          <w:szCs w:val="24"/>
        </w:rPr>
        <w:t>meet the growing demand for startup funds, IBA recently took a 31 percent stake in Message Stick Communications (Private), a technology, communications, and media service provider founded by Indigen</w:t>
      </w:r>
      <w:r w:rsidR="008D2242">
        <w:rPr>
          <w:rFonts w:ascii="Times New Roman" w:hAnsi="Times New Roman" w:cs="Times New Roman"/>
          <w:sz w:val="24"/>
          <w:szCs w:val="24"/>
        </w:rPr>
        <w:t>ous entrepreneur Michael McLeod.</w:t>
      </w:r>
    </w:p>
    <w:p w:rsidR="00485AF0" w:rsidRDefault="00D44875" w:rsidP="00D44875">
      <w:pPr>
        <w:spacing w:line="360" w:lineRule="auto"/>
        <w:jc w:val="both"/>
        <w:rPr>
          <w:rFonts w:ascii="Times New Roman" w:hAnsi="Times New Roman" w:cs="Times New Roman"/>
          <w:sz w:val="24"/>
          <w:szCs w:val="24"/>
        </w:rPr>
      </w:pPr>
      <w:r>
        <w:rPr>
          <w:rFonts w:ascii="Times New Roman" w:hAnsi="Times New Roman" w:cs="Times New Roman"/>
          <w:sz w:val="24"/>
          <w:szCs w:val="24"/>
        </w:rPr>
        <w:t>Named for the Aboriginal tradition of carving and transporting messages on sticks, Message Stick Communications is majority Indigenous-owned and has had an annual growth rate of over 125 percent since 2005.  The company’s clients include</w:t>
      </w:r>
      <w:r w:rsidRPr="00D44875">
        <w:rPr>
          <w:rFonts w:ascii="Times New Roman" w:hAnsi="Times New Roman" w:cs="Times New Roman"/>
          <w:sz w:val="24"/>
          <w:szCs w:val="24"/>
        </w:rPr>
        <w:t xml:space="preserve"> </w:t>
      </w:r>
      <w:r>
        <w:rPr>
          <w:rFonts w:ascii="Times New Roman" w:hAnsi="Times New Roman" w:cs="Times New Roman"/>
          <w:sz w:val="24"/>
          <w:szCs w:val="24"/>
        </w:rPr>
        <w:t>Johnson and Johnson (NYSE</w:t>
      </w:r>
      <w:r w:rsidR="008D2242">
        <w:rPr>
          <w:rFonts w:ascii="Times New Roman" w:hAnsi="Times New Roman" w:cs="Times New Roman"/>
          <w:sz w:val="24"/>
          <w:szCs w:val="24"/>
        </w:rPr>
        <w:t>:JNJ) and KPMG (USA: Private).</w:t>
      </w:r>
    </w:p>
    <w:p w:rsidR="00D44875" w:rsidRDefault="008D2242" w:rsidP="00E44A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Companies should take advantage of the expanding network of successful Indigenous-owned businesses in Australia, and seek partnership opportunities </w:t>
      </w:r>
      <w:r w:rsidR="00E44ABD">
        <w:rPr>
          <w:rFonts w:ascii="Times New Roman" w:hAnsi="Times New Roman" w:cs="Times New Roman"/>
          <w:sz w:val="24"/>
          <w:szCs w:val="24"/>
        </w:rPr>
        <w:t>that enable both parties to grow.</w:t>
      </w:r>
    </w:p>
    <w:p w:rsidR="00D44875" w:rsidRDefault="00D44875" w:rsidP="00D44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Sources: </w:t>
      </w:r>
      <w:hyperlink r:id="rId15" w:history="1">
        <w:r w:rsidRPr="001A1D60">
          <w:rPr>
            <w:rStyle w:val="Hyperlink"/>
            <w:rFonts w:ascii="Times New Roman" w:hAnsi="Times New Roman" w:cs="Times New Roman"/>
            <w:sz w:val="24"/>
            <w:szCs w:val="24"/>
          </w:rPr>
          <w:t>The Australian</w:t>
        </w:r>
      </w:hyperlink>
      <w:r>
        <w:rPr>
          <w:rFonts w:ascii="Times New Roman" w:hAnsi="Times New Roman" w:cs="Times New Roman"/>
          <w:sz w:val="24"/>
          <w:szCs w:val="24"/>
        </w:rPr>
        <w:t xml:space="preserve"> </w:t>
      </w:r>
    </w:p>
    <w:p w:rsidR="00D44875" w:rsidRPr="0000551B" w:rsidRDefault="00234917" w:rsidP="003165FA">
      <w:pPr>
        <w:spacing w:line="360" w:lineRule="auto"/>
        <w:jc w:val="both"/>
        <w:rPr>
          <w:rFonts w:ascii="Times New Roman" w:hAnsi="Times New Roman" w:cs="Times New Roman"/>
          <w:b/>
          <w:sz w:val="28"/>
          <w:szCs w:val="28"/>
        </w:rPr>
      </w:pPr>
      <w:r>
        <w:rPr>
          <w:rFonts w:ascii="Times New Roman" w:hAnsi="Times New Roman" w:cs="Times New Roman"/>
          <w:b/>
          <w:sz w:val="28"/>
          <w:szCs w:val="28"/>
        </w:rPr>
        <w:t>Opportunities for</w:t>
      </w:r>
      <w:r w:rsidR="008D2242">
        <w:rPr>
          <w:rFonts w:ascii="Times New Roman" w:hAnsi="Times New Roman" w:cs="Times New Roman"/>
          <w:b/>
          <w:sz w:val="28"/>
          <w:szCs w:val="28"/>
        </w:rPr>
        <w:t xml:space="preserve"> Business</w:t>
      </w:r>
      <w:r w:rsidR="00FC6AB2">
        <w:rPr>
          <w:rFonts w:ascii="Times New Roman" w:hAnsi="Times New Roman" w:cs="Times New Roman"/>
          <w:b/>
          <w:sz w:val="28"/>
          <w:szCs w:val="28"/>
        </w:rPr>
        <w:t xml:space="preserve"> with Indigenous Peoples - </w:t>
      </w:r>
      <w:r w:rsidR="000800BC" w:rsidRPr="0000551B">
        <w:rPr>
          <w:rFonts w:ascii="Times New Roman" w:hAnsi="Times New Roman" w:cs="Times New Roman"/>
          <w:b/>
          <w:sz w:val="28"/>
          <w:szCs w:val="28"/>
        </w:rPr>
        <w:t>Philippines</w:t>
      </w:r>
    </w:p>
    <w:p w:rsidR="0027524F" w:rsidRDefault="000800BC" w:rsidP="000800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 </w:t>
      </w:r>
      <w:proofErr w:type="spellStart"/>
      <w:r>
        <w:rPr>
          <w:rFonts w:ascii="Times New Roman" w:hAnsi="Times New Roman" w:cs="Times New Roman"/>
          <w:sz w:val="24"/>
          <w:szCs w:val="24"/>
        </w:rPr>
        <w:t>Aytas</w:t>
      </w:r>
      <w:proofErr w:type="spellEnd"/>
      <w:r>
        <w:rPr>
          <w:rFonts w:ascii="Times New Roman" w:hAnsi="Times New Roman" w:cs="Times New Roman"/>
          <w:sz w:val="24"/>
          <w:szCs w:val="24"/>
        </w:rPr>
        <w:t xml:space="preserve"> community in the Philippines is opening their territory to private investment</w:t>
      </w:r>
      <w:r w:rsidR="0027524F">
        <w:rPr>
          <w:rFonts w:ascii="Times New Roman" w:hAnsi="Times New Roman" w:cs="Times New Roman"/>
          <w:sz w:val="24"/>
          <w:szCs w:val="24"/>
        </w:rPr>
        <w:t xml:space="preserve"> from the tourism industry</w:t>
      </w:r>
      <w:r>
        <w:rPr>
          <w:rFonts w:ascii="Times New Roman" w:hAnsi="Times New Roman" w:cs="Times New Roman"/>
          <w:sz w:val="24"/>
          <w:szCs w:val="24"/>
        </w:rPr>
        <w:t>, under the condition that locals benefit from the increased economic activity.  Community leaders said the territory, which sits 1,200 feet above sea level and provides spectacular views of mountain ranges,</w:t>
      </w:r>
      <w:r w:rsidR="0027524F">
        <w:rPr>
          <w:rFonts w:ascii="Times New Roman" w:hAnsi="Times New Roman" w:cs="Times New Roman"/>
          <w:sz w:val="24"/>
          <w:szCs w:val="24"/>
        </w:rPr>
        <w:t xml:space="preserve"> has potential to become a major tourist attraction.</w:t>
      </w:r>
      <w:r>
        <w:rPr>
          <w:rFonts w:ascii="Times New Roman" w:hAnsi="Times New Roman" w:cs="Times New Roman"/>
          <w:sz w:val="24"/>
          <w:szCs w:val="24"/>
        </w:rPr>
        <w:t xml:space="preserve">  They </w:t>
      </w:r>
      <w:r>
        <w:rPr>
          <w:rFonts w:ascii="Times New Roman" w:hAnsi="Times New Roman" w:cs="Times New Roman"/>
          <w:sz w:val="24"/>
          <w:szCs w:val="24"/>
        </w:rPr>
        <w:lastRenderedPageBreak/>
        <w:t>cited the Native American casinos near San Diego, California</w:t>
      </w:r>
      <w:r w:rsidR="0027524F">
        <w:rPr>
          <w:rFonts w:ascii="Times New Roman" w:hAnsi="Times New Roman" w:cs="Times New Roman"/>
          <w:sz w:val="24"/>
          <w:szCs w:val="24"/>
        </w:rPr>
        <w:t xml:space="preserve"> as models for tourism development in their community.</w:t>
      </w:r>
      <w:r w:rsidR="00344CBC">
        <w:rPr>
          <w:rFonts w:ascii="Times New Roman" w:hAnsi="Times New Roman" w:cs="Times New Roman"/>
          <w:sz w:val="24"/>
          <w:szCs w:val="24"/>
        </w:rPr>
        <w:t xml:space="preserve">  </w:t>
      </w:r>
      <w:r w:rsidR="0027524F">
        <w:rPr>
          <w:rFonts w:ascii="Times New Roman" w:hAnsi="Times New Roman" w:cs="Times New Roman"/>
          <w:sz w:val="24"/>
          <w:szCs w:val="24"/>
        </w:rPr>
        <w:t>W</w:t>
      </w:r>
      <w:r>
        <w:rPr>
          <w:rFonts w:ascii="Times New Roman" w:hAnsi="Times New Roman" w:cs="Times New Roman"/>
          <w:sz w:val="24"/>
          <w:szCs w:val="24"/>
        </w:rPr>
        <w:t xml:space="preserve">hen </w:t>
      </w:r>
      <w:r w:rsidR="0027524F">
        <w:rPr>
          <w:rFonts w:ascii="Times New Roman" w:hAnsi="Times New Roman" w:cs="Times New Roman"/>
          <w:sz w:val="24"/>
          <w:szCs w:val="24"/>
        </w:rPr>
        <w:t xml:space="preserve">Indigenous Peoples have opportunities to harness economic gain from their assets, </w:t>
      </w:r>
      <w:r w:rsidR="009027EB">
        <w:rPr>
          <w:rFonts w:ascii="Times New Roman" w:hAnsi="Times New Roman" w:cs="Times New Roman"/>
          <w:sz w:val="24"/>
          <w:szCs w:val="24"/>
        </w:rPr>
        <w:t xml:space="preserve">they </w:t>
      </w:r>
      <w:r w:rsidR="00AE6544">
        <w:rPr>
          <w:rFonts w:ascii="Times New Roman" w:hAnsi="Times New Roman" w:cs="Times New Roman"/>
          <w:sz w:val="24"/>
          <w:szCs w:val="24"/>
        </w:rPr>
        <w:t xml:space="preserve">will </w:t>
      </w:r>
      <w:r w:rsidR="009027EB">
        <w:rPr>
          <w:rFonts w:ascii="Times New Roman" w:hAnsi="Times New Roman" w:cs="Times New Roman"/>
          <w:sz w:val="24"/>
          <w:szCs w:val="24"/>
        </w:rPr>
        <w:t xml:space="preserve">often not only accept, but welcome </w:t>
      </w:r>
      <w:r w:rsidR="0027524F">
        <w:rPr>
          <w:rFonts w:ascii="Times New Roman" w:hAnsi="Times New Roman" w:cs="Times New Roman"/>
          <w:sz w:val="24"/>
          <w:szCs w:val="24"/>
        </w:rPr>
        <w:t>private investment</w:t>
      </w:r>
      <w:r w:rsidR="009027EB">
        <w:rPr>
          <w:rFonts w:ascii="Times New Roman" w:hAnsi="Times New Roman" w:cs="Times New Roman"/>
          <w:sz w:val="24"/>
          <w:szCs w:val="24"/>
        </w:rPr>
        <w:t>.</w:t>
      </w:r>
    </w:p>
    <w:p w:rsidR="000800BC" w:rsidRDefault="000800BC" w:rsidP="000800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Sources: </w:t>
      </w:r>
      <w:hyperlink r:id="rId16" w:history="1">
        <w:r w:rsidRPr="00354D7E">
          <w:rPr>
            <w:rStyle w:val="Hyperlink"/>
            <w:rFonts w:ascii="Times New Roman" w:hAnsi="Times New Roman" w:cs="Times New Roman"/>
            <w:sz w:val="24"/>
            <w:szCs w:val="24"/>
          </w:rPr>
          <w:t>Business Mirror</w:t>
        </w:r>
      </w:hyperlink>
    </w:p>
    <w:p w:rsidR="00FC6AB2" w:rsidRPr="0000551B" w:rsidRDefault="00FC6AB2" w:rsidP="00FC6AB2">
      <w:pPr>
        <w:spacing w:line="360" w:lineRule="auto"/>
        <w:jc w:val="both"/>
        <w:rPr>
          <w:rFonts w:ascii="Times New Roman" w:hAnsi="Times New Roman" w:cs="Times New Roman"/>
          <w:b/>
          <w:sz w:val="28"/>
          <w:szCs w:val="28"/>
        </w:rPr>
      </w:pPr>
      <w:r w:rsidRPr="0000551B">
        <w:rPr>
          <w:rFonts w:ascii="Times New Roman" w:hAnsi="Times New Roman" w:cs="Times New Roman"/>
          <w:b/>
          <w:sz w:val="28"/>
          <w:szCs w:val="28"/>
        </w:rPr>
        <w:t>The Risks of Bad Practice</w:t>
      </w:r>
      <w:r>
        <w:rPr>
          <w:rFonts w:ascii="Times New Roman" w:hAnsi="Times New Roman" w:cs="Times New Roman"/>
          <w:b/>
          <w:sz w:val="28"/>
          <w:szCs w:val="28"/>
        </w:rPr>
        <w:t xml:space="preserve"> – </w:t>
      </w:r>
      <w:r w:rsidR="00D0127C" w:rsidRPr="0000551B">
        <w:rPr>
          <w:rFonts w:ascii="Times New Roman" w:hAnsi="Times New Roman" w:cs="Times New Roman"/>
          <w:b/>
          <w:sz w:val="28"/>
          <w:szCs w:val="28"/>
        </w:rPr>
        <w:t>Chevron</w:t>
      </w:r>
      <w:r w:rsidR="00D0127C">
        <w:rPr>
          <w:rFonts w:ascii="Times New Roman" w:hAnsi="Times New Roman" w:cs="Times New Roman"/>
          <w:b/>
          <w:sz w:val="28"/>
          <w:szCs w:val="28"/>
        </w:rPr>
        <w:t xml:space="preserve"> Subpoenas </w:t>
      </w:r>
      <w:r>
        <w:rPr>
          <w:rFonts w:ascii="Times New Roman" w:hAnsi="Times New Roman" w:cs="Times New Roman"/>
          <w:b/>
          <w:sz w:val="28"/>
          <w:szCs w:val="28"/>
        </w:rPr>
        <w:t>Investors</w:t>
      </w:r>
    </w:p>
    <w:p w:rsidR="00175805" w:rsidRDefault="00FC6AB2" w:rsidP="00FC6AB2">
      <w:pPr>
        <w:spacing w:line="360" w:lineRule="auto"/>
        <w:jc w:val="both"/>
        <w:rPr>
          <w:rFonts w:ascii="Times New Roman" w:hAnsi="Times New Roman" w:cs="Times New Roman"/>
          <w:sz w:val="24"/>
          <w:szCs w:val="24"/>
        </w:rPr>
      </w:pPr>
      <w:r w:rsidRPr="00C8678F">
        <w:rPr>
          <w:rFonts w:ascii="Times New Roman" w:hAnsi="Times New Roman" w:cs="Times New Roman"/>
          <w:sz w:val="24"/>
          <w:szCs w:val="24"/>
        </w:rPr>
        <w:t xml:space="preserve">In November 2012, Chevron (NYSE:CVX) subpoenaed one of its investors, </w:t>
      </w:r>
      <w:r>
        <w:rPr>
          <w:rFonts w:ascii="Times New Roman" w:hAnsi="Times New Roman" w:cs="Times New Roman"/>
          <w:sz w:val="24"/>
          <w:szCs w:val="24"/>
        </w:rPr>
        <w:t>Trillium Asset Management, which sponsored several shareholder proposals questioning the company’s handling of legal disputes in South America, and requesting the company to improve its social and environmental performance.</w:t>
      </w:r>
      <w:r w:rsidRPr="00344CBC">
        <w:rPr>
          <w:rFonts w:ascii="Times New Roman" w:hAnsi="Times New Roman" w:cs="Times New Roman"/>
          <w:sz w:val="24"/>
          <w:szCs w:val="24"/>
        </w:rPr>
        <w:t xml:space="preserve"> </w:t>
      </w:r>
      <w:r>
        <w:rPr>
          <w:rFonts w:ascii="Times New Roman" w:hAnsi="Times New Roman" w:cs="Times New Roman"/>
          <w:sz w:val="24"/>
          <w:szCs w:val="24"/>
        </w:rPr>
        <w:t xml:space="preserve"> </w:t>
      </w:r>
      <w:r w:rsidR="00486326">
        <w:rPr>
          <w:rFonts w:ascii="Times New Roman" w:hAnsi="Times New Roman" w:cs="Times New Roman"/>
          <w:sz w:val="24"/>
          <w:szCs w:val="24"/>
        </w:rPr>
        <w:t xml:space="preserve">The </w:t>
      </w:r>
      <w:hyperlink r:id="rId17" w:history="1">
        <w:r w:rsidR="00486326" w:rsidRPr="00486326">
          <w:rPr>
            <w:rStyle w:val="Hyperlink"/>
            <w:rFonts w:ascii="Times New Roman" w:hAnsi="Times New Roman" w:cs="Times New Roman"/>
            <w:sz w:val="24"/>
            <w:szCs w:val="24"/>
          </w:rPr>
          <w:t>subpoena</w:t>
        </w:r>
      </w:hyperlink>
      <w:r w:rsidR="00055B9C">
        <w:rPr>
          <w:rFonts w:ascii="Times New Roman" w:hAnsi="Times New Roman" w:cs="Times New Roman"/>
          <w:sz w:val="24"/>
          <w:szCs w:val="24"/>
        </w:rPr>
        <w:t xml:space="preserve"> demands</w:t>
      </w:r>
      <w:r>
        <w:rPr>
          <w:rFonts w:ascii="Times New Roman" w:hAnsi="Times New Roman" w:cs="Times New Roman"/>
          <w:sz w:val="24"/>
          <w:szCs w:val="24"/>
        </w:rPr>
        <w:t xml:space="preserve"> </w:t>
      </w:r>
      <w:r w:rsidR="00486326">
        <w:rPr>
          <w:rFonts w:ascii="Times New Roman" w:hAnsi="Times New Roman" w:cs="Times New Roman"/>
          <w:sz w:val="24"/>
          <w:szCs w:val="24"/>
        </w:rPr>
        <w:t xml:space="preserve">that </w:t>
      </w:r>
      <w:r>
        <w:rPr>
          <w:rFonts w:ascii="Times New Roman" w:hAnsi="Times New Roman" w:cs="Times New Roman"/>
          <w:sz w:val="24"/>
          <w:szCs w:val="24"/>
        </w:rPr>
        <w:t>Trillium submit documents relati</w:t>
      </w:r>
      <w:r w:rsidR="00D0127C">
        <w:rPr>
          <w:rFonts w:ascii="Times New Roman" w:hAnsi="Times New Roman" w:cs="Times New Roman"/>
          <w:sz w:val="24"/>
          <w:szCs w:val="24"/>
        </w:rPr>
        <w:t>ng to these proposals in court</w:t>
      </w:r>
      <w:r w:rsidR="00055B9C">
        <w:rPr>
          <w:rFonts w:ascii="Times New Roman" w:hAnsi="Times New Roman" w:cs="Times New Roman"/>
          <w:sz w:val="24"/>
          <w:szCs w:val="24"/>
        </w:rPr>
        <w:t>.</w:t>
      </w:r>
    </w:p>
    <w:p w:rsidR="00FC6AB2" w:rsidRPr="00C8678F" w:rsidRDefault="00175805" w:rsidP="00FC6AB2">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The subpoena is</w:t>
      </w:r>
      <w:r w:rsidR="005270A0">
        <w:rPr>
          <w:rFonts w:ascii="Times New Roman" w:hAnsi="Times New Roman" w:cs="Times New Roman"/>
          <w:sz w:val="24"/>
          <w:szCs w:val="24"/>
        </w:rPr>
        <w:t xml:space="preserve"> part of lawsuit Chevron is fili</w:t>
      </w:r>
      <w:r>
        <w:rPr>
          <w:rFonts w:ascii="Times New Roman" w:hAnsi="Times New Roman" w:cs="Times New Roman"/>
          <w:sz w:val="24"/>
          <w:szCs w:val="24"/>
        </w:rPr>
        <w:t>ng against the parties involved</w:t>
      </w:r>
      <w:r w:rsidR="005270A0">
        <w:rPr>
          <w:rFonts w:ascii="Times New Roman" w:hAnsi="Times New Roman" w:cs="Times New Roman"/>
          <w:sz w:val="24"/>
          <w:szCs w:val="24"/>
        </w:rPr>
        <w:t xml:space="preserve"> in bringing </w:t>
      </w:r>
      <w:r>
        <w:rPr>
          <w:rFonts w:ascii="Times New Roman" w:hAnsi="Times New Roman" w:cs="Times New Roman"/>
          <w:sz w:val="24"/>
          <w:szCs w:val="24"/>
        </w:rPr>
        <w:t xml:space="preserve">charges for environmental damages to the company.  Although Trillium is not a defendant in the lawsuit, it’s clients are </w:t>
      </w:r>
      <w:r w:rsidR="00FC6AB2">
        <w:rPr>
          <w:rFonts w:ascii="Times New Roman" w:hAnsi="Times New Roman" w:cs="Times New Roman"/>
          <w:sz w:val="24"/>
          <w:szCs w:val="24"/>
        </w:rPr>
        <w:t xml:space="preserve">concerned with Chevron’s </w:t>
      </w:r>
      <w:r w:rsidR="00055B9C">
        <w:rPr>
          <w:rFonts w:ascii="Times New Roman" w:hAnsi="Times New Roman" w:cs="Times New Roman"/>
          <w:sz w:val="24"/>
          <w:szCs w:val="24"/>
        </w:rPr>
        <w:t>refusal to comply with</w:t>
      </w:r>
      <w:r w:rsidR="00FC6AB2">
        <w:rPr>
          <w:rFonts w:ascii="Times New Roman" w:hAnsi="Times New Roman" w:cs="Times New Roman"/>
          <w:sz w:val="24"/>
          <w:szCs w:val="24"/>
        </w:rPr>
        <w:t xml:space="preserve"> a 2011 </w:t>
      </w:r>
      <w:r w:rsidR="00FC6AB2" w:rsidRPr="00C8678F">
        <w:rPr>
          <w:rFonts w:ascii="Times New Roman" w:hAnsi="Times New Roman" w:cs="Times New Roman"/>
          <w:sz w:val="24"/>
          <w:szCs w:val="24"/>
        </w:rPr>
        <w:t xml:space="preserve">Ecuadorian court </w:t>
      </w:r>
      <w:hyperlink r:id="rId18" w:history="1">
        <w:r w:rsidR="00FC6AB2" w:rsidRPr="00C8678F">
          <w:rPr>
            <w:rStyle w:val="Hyperlink"/>
            <w:rFonts w:ascii="Times New Roman" w:hAnsi="Times New Roman" w:cs="Times New Roman"/>
            <w:sz w:val="24"/>
            <w:szCs w:val="24"/>
          </w:rPr>
          <w:t>ruling</w:t>
        </w:r>
      </w:hyperlink>
      <w:r w:rsidR="00FC6AB2" w:rsidRPr="00C8678F">
        <w:rPr>
          <w:rFonts w:ascii="Times New Roman" w:hAnsi="Times New Roman" w:cs="Times New Roman"/>
          <w:sz w:val="24"/>
          <w:szCs w:val="24"/>
        </w:rPr>
        <w:t xml:space="preserve"> ordering it to pay US$19.04 billion for environmental damages to Indigenous communities in the Ecuadorian Amazon</w:t>
      </w:r>
      <w:r w:rsidR="00FC6AB2">
        <w:rPr>
          <w:rFonts w:ascii="Times New Roman" w:hAnsi="Times New Roman" w:cs="Times New Roman"/>
          <w:sz w:val="24"/>
          <w:szCs w:val="24"/>
        </w:rPr>
        <w:t>.  Stock market a</w:t>
      </w:r>
      <w:r w:rsidR="00FC6AB2" w:rsidRPr="00C8678F">
        <w:rPr>
          <w:rFonts w:ascii="Times New Roman" w:hAnsi="Times New Roman" w:cs="Times New Roman"/>
          <w:sz w:val="24"/>
          <w:szCs w:val="24"/>
        </w:rPr>
        <w:t xml:space="preserve">nalysts </w:t>
      </w:r>
      <w:r w:rsidR="00FC6AB2">
        <w:rPr>
          <w:rFonts w:ascii="Times New Roman" w:hAnsi="Times New Roman" w:cs="Times New Roman"/>
          <w:sz w:val="24"/>
          <w:szCs w:val="24"/>
        </w:rPr>
        <w:t xml:space="preserve">said </w:t>
      </w:r>
      <w:r w:rsidR="00FC6AB2" w:rsidRPr="00C8678F">
        <w:rPr>
          <w:rFonts w:ascii="Times New Roman" w:hAnsi="Times New Roman" w:cs="Times New Roman"/>
          <w:sz w:val="24"/>
          <w:szCs w:val="24"/>
        </w:rPr>
        <w:t>that despite Chevron’s history of strong growth, investors should</w:t>
      </w:r>
      <w:r w:rsidR="00FC6AB2" w:rsidRPr="00C8678F">
        <w:rPr>
          <w:rFonts w:ascii="Times New Roman" w:hAnsi="Times New Roman" w:cs="Times New Roman"/>
          <w:sz w:val="24"/>
          <w:szCs w:val="24"/>
          <w:shd w:val="clear" w:color="auto" w:fill="FFFFFF"/>
        </w:rPr>
        <w:t xml:space="preserve"> examine their positions in the company against their current risk profiles</w:t>
      </w:r>
      <w:r w:rsidR="00FC6AB2" w:rsidRPr="00C8678F">
        <w:rPr>
          <w:rFonts w:ascii="Times New Roman" w:hAnsi="Times New Roman" w:cs="Times New Roman"/>
          <w:sz w:val="24"/>
          <w:szCs w:val="24"/>
        </w:rPr>
        <w:t>.  On November 9, an Argentine court froze all of Chevron’s assets in the country (estimated at US$2 billion)</w:t>
      </w:r>
      <w:r w:rsidR="00FC6AB2">
        <w:rPr>
          <w:rFonts w:ascii="Times New Roman" w:hAnsi="Times New Roman" w:cs="Times New Roman"/>
          <w:sz w:val="24"/>
          <w:szCs w:val="24"/>
        </w:rPr>
        <w:t xml:space="preserve"> due to </w:t>
      </w:r>
      <w:r w:rsidR="00FC6AB2" w:rsidRPr="00C8678F">
        <w:rPr>
          <w:rFonts w:ascii="Times New Roman" w:hAnsi="Times New Roman" w:cs="Times New Roman"/>
          <w:sz w:val="24"/>
          <w:szCs w:val="24"/>
        </w:rPr>
        <w:t xml:space="preserve">the company’s refusal to comply with </w:t>
      </w:r>
      <w:r w:rsidR="00FC6AB2">
        <w:rPr>
          <w:rFonts w:ascii="Times New Roman" w:hAnsi="Times New Roman" w:cs="Times New Roman"/>
          <w:sz w:val="24"/>
          <w:szCs w:val="24"/>
        </w:rPr>
        <w:t>the</w:t>
      </w:r>
      <w:r w:rsidR="00FC6AB2" w:rsidRPr="00C8678F">
        <w:rPr>
          <w:rFonts w:ascii="Times New Roman" w:hAnsi="Times New Roman" w:cs="Times New Roman"/>
          <w:sz w:val="24"/>
          <w:szCs w:val="24"/>
        </w:rPr>
        <w:t xml:space="preserve"> Ecuadorian court </w:t>
      </w:r>
      <w:r w:rsidR="00FC6AB2" w:rsidRPr="004A3828">
        <w:rPr>
          <w:rFonts w:ascii="Times New Roman" w:hAnsi="Times New Roman" w:cs="Times New Roman"/>
          <w:sz w:val="24"/>
          <w:szCs w:val="24"/>
        </w:rPr>
        <w:t>ruling</w:t>
      </w:r>
      <w:r w:rsidR="00FC6AB2" w:rsidRPr="00C8678F">
        <w:rPr>
          <w:rFonts w:ascii="Times New Roman" w:hAnsi="Times New Roman" w:cs="Times New Roman"/>
          <w:sz w:val="24"/>
          <w:szCs w:val="24"/>
        </w:rPr>
        <w:t>.  Following the Argentine court’s decision, the company experienced a steep downturn in share price ($7.96/$7.21).</w:t>
      </w:r>
      <w:r w:rsidR="005270A0">
        <w:rPr>
          <w:rFonts w:ascii="Times New Roman" w:hAnsi="Times New Roman" w:cs="Times New Roman"/>
          <w:sz w:val="24"/>
          <w:szCs w:val="24"/>
        </w:rPr>
        <w:t xml:space="preserve"> </w:t>
      </w:r>
    </w:p>
    <w:p w:rsidR="00FC6AB2" w:rsidRPr="00C8678F" w:rsidRDefault="00FC6AB2" w:rsidP="00FC6AB2">
      <w:pPr>
        <w:spacing w:line="360" w:lineRule="auto"/>
        <w:jc w:val="both"/>
        <w:rPr>
          <w:rFonts w:ascii="Times New Roman" w:hAnsi="Times New Roman" w:cs="Times New Roman"/>
          <w:sz w:val="24"/>
          <w:szCs w:val="24"/>
        </w:rPr>
      </w:pPr>
      <w:r w:rsidRPr="00C8678F">
        <w:rPr>
          <w:rFonts w:ascii="Times New Roman" w:hAnsi="Times New Roman" w:cs="Times New Roman"/>
          <w:sz w:val="24"/>
          <w:szCs w:val="24"/>
          <w:shd w:val="clear" w:color="auto" w:fill="FFFFFF"/>
        </w:rPr>
        <w:t xml:space="preserve">Sources: </w:t>
      </w:r>
      <w:hyperlink r:id="rId19" w:history="1">
        <w:r w:rsidRPr="00C8678F">
          <w:rPr>
            <w:rStyle w:val="Hyperlink"/>
            <w:rFonts w:ascii="Times New Roman" w:hAnsi="Times New Roman" w:cs="Times New Roman"/>
            <w:sz w:val="24"/>
            <w:szCs w:val="24"/>
          </w:rPr>
          <w:t>New York Times</w:t>
        </w:r>
      </w:hyperlink>
      <w:r w:rsidRPr="00C8678F">
        <w:rPr>
          <w:rFonts w:ascii="Times New Roman" w:hAnsi="Times New Roman" w:cs="Times New Roman"/>
          <w:sz w:val="24"/>
          <w:szCs w:val="24"/>
        </w:rPr>
        <w:t xml:space="preserve">, </w:t>
      </w:r>
      <w:hyperlink r:id="rId20" w:history="1">
        <w:r w:rsidRPr="00C8678F">
          <w:rPr>
            <w:rStyle w:val="Hyperlink"/>
            <w:rFonts w:ascii="Times New Roman" w:hAnsi="Times New Roman" w:cs="Times New Roman"/>
            <w:sz w:val="24"/>
            <w:szCs w:val="24"/>
            <w:shd w:val="clear" w:color="auto" w:fill="FFFFFF"/>
          </w:rPr>
          <w:t>Seeking Alpha</w:t>
        </w:r>
      </w:hyperlink>
    </w:p>
    <w:p w:rsidR="00FC6AB2" w:rsidRPr="0000551B" w:rsidRDefault="00D0127C" w:rsidP="00FC6AB2">
      <w:pPr>
        <w:spacing w:line="360" w:lineRule="auto"/>
        <w:jc w:val="both"/>
        <w:rPr>
          <w:rFonts w:ascii="Times New Roman" w:hAnsi="Times New Roman" w:cs="Times New Roman"/>
          <w:b/>
          <w:sz w:val="28"/>
          <w:szCs w:val="28"/>
        </w:rPr>
      </w:pPr>
      <w:r>
        <w:rPr>
          <w:rFonts w:ascii="Times New Roman" w:hAnsi="Times New Roman" w:cs="Times New Roman"/>
          <w:b/>
          <w:sz w:val="28"/>
          <w:szCs w:val="28"/>
        </w:rPr>
        <w:t>The Risks of Bad Practice – Hydro Tasmania Withdraws from SCORE</w:t>
      </w:r>
    </w:p>
    <w:p w:rsidR="00FC6AB2" w:rsidRPr="00C8678F" w:rsidRDefault="00FC6AB2" w:rsidP="00FC6AB2">
      <w:pPr>
        <w:spacing w:line="360" w:lineRule="auto"/>
        <w:jc w:val="both"/>
        <w:rPr>
          <w:rFonts w:ascii="Times New Roman" w:hAnsi="Times New Roman" w:cs="Times New Roman"/>
          <w:sz w:val="24"/>
          <w:szCs w:val="24"/>
        </w:rPr>
      </w:pPr>
      <w:r w:rsidRPr="00C8678F">
        <w:rPr>
          <w:rFonts w:ascii="Times New Roman" w:hAnsi="Times New Roman" w:cs="Times New Roman"/>
          <w:sz w:val="24"/>
          <w:szCs w:val="24"/>
        </w:rPr>
        <w:t>On December 4, Hydro Tasmania</w:t>
      </w:r>
      <w:r>
        <w:rPr>
          <w:rFonts w:ascii="Times New Roman" w:hAnsi="Times New Roman" w:cs="Times New Roman"/>
          <w:sz w:val="24"/>
          <w:szCs w:val="24"/>
        </w:rPr>
        <w:t>, an Australian public energy company,</w:t>
      </w:r>
      <w:r w:rsidRPr="00C8678F">
        <w:rPr>
          <w:rFonts w:ascii="Times New Roman" w:hAnsi="Times New Roman" w:cs="Times New Roman"/>
          <w:sz w:val="24"/>
          <w:szCs w:val="24"/>
        </w:rPr>
        <w:t xml:space="preserve"> announced </w:t>
      </w:r>
      <w:r>
        <w:rPr>
          <w:rFonts w:ascii="Times New Roman" w:hAnsi="Times New Roman" w:cs="Times New Roman"/>
          <w:sz w:val="24"/>
          <w:szCs w:val="24"/>
        </w:rPr>
        <w:t>that it is withdrawing</w:t>
      </w:r>
      <w:r w:rsidRPr="00C8678F">
        <w:rPr>
          <w:rFonts w:ascii="Times New Roman" w:hAnsi="Times New Roman" w:cs="Times New Roman"/>
          <w:sz w:val="24"/>
          <w:szCs w:val="24"/>
        </w:rPr>
        <w:t xml:space="preserve"> from the Malaysian government’s </w:t>
      </w:r>
      <w:hyperlink r:id="rId21" w:history="1">
        <w:r w:rsidRPr="00C8678F">
          <w:rPr>
            <w:rStyle w:val="Hyperlink"/>
            <w:rFonts w:ascii="Times New Roman" w:hAnsi="Times New Roman" w:cs="Times New Roman"/>
            <w:sz w:val="24"/>
            <w:szCs w:val="24"/>
          </w:rPr>
          <w:t>Sarawak Corridor of Renewable Energy</w:t>
        </w:r>
      </w:hyperlink>
      <w:r w:rsidRPr="00C8678F">
        <w:rPr>
          <w:rFonts w:ascii="Times New Roman" w:hAnsi="Times New Roman" w:cs="Times New Roman"/>
          <w:sz w:val="24"/>
          <w:szCs w:val="24"/>
        </w:rPr>
        <w:t xml:space="preserve"> (SCORE)</w:t>
      </w:r>
      <w:r>
        <w:rPr>
          <w:rFonts w:ascii="Times New Roman" w:hAnsi="Times New Roman" w:cs="Times New Roman"/>
          <w:sz w:val="24"/>
          <w:szCs w:val="24"/>
        </w:rPr>
        <w:t xml:space="preserve"> project, which</w:t>
      </w:r>
      <w:r w:rsidRPr="00C8678F">
        <w:rPr>
          <w:rFonts w:ascii="Times New Roman" w:hAnsi="Times New Roman" w:cs="Times New Roman"/>
          <w:sz w:val="24"/>
          <w:szCs w:val="24"/>
        </w:rPr>
        <w:t xml:space="preserve"> involves the construction of twelve dams in the Malaysian state of Sarawak.</w:t>
      </w:r>
      <w:r>
        <w:rPr>
          <w:rFonts w:ascii="Times New Roman" w:hAnsi="Times New Roman" w:cs="Times New Roman"/>
          <w:sz w:val="24"/>
          <w:szCs w:val="24"/>
        </w:rPr>
        <w:t xml:space="preserve">  </w:t>
      </w:r>
      <w:r w:rsidRPr="00C8678F">
        <w:rPr>
          <w:rFonts w:ascii="Times New Roman" w:hAnsi="Times New Roman" w:cs="Times New Roman"/>
          <w:sz w:val="24"/>
          <w:szCs w:val="24"/>
        </w:rPr>
        <w:t>The company provided SCORE with consulting and management services worth an estimated US$3 million per year.</w:t>
      </w:r>
    </w:p>
    <w:p w:rsidR="00FC6AB2" w:rsidRDefault="00FC6AB2" w:rsidP="00FC6AB2">
      <w:pPr>
        <w:spacing w:line="360" w:lineRule="auto"/>
        <w:jc w:val="both"/>
        <w:rPr>
          <w:rFonts w:ascii="Times New Roman" w:hAnsi="Times New Roman" w:cs="Times New Roman"/>
          <w:sz w:val="24"/>
          <w:szCs w:val="24"/>
        </w:rPr>
      </w:pPr>
      <w:r w:rsidRPr="00C8678F">
        <w:rPr>
          <w:rFonts w:ascii="Times New Roman" w:hAnsi="Times New Roman" w:cs="Times New Roman"/>
          <w:sz w:val="24"/>
          <w:szCs w:val="24"/>
        </w:rPr>
        <w:t xml:space="preserve">Despite being advertised by the Malaysian government as a model of best practice for socially responsible hydropower, </w:t>
      </w:r>
      <w:r>
        <w:rPr>
          <w:rFonts w:ascii="Times New Roman" w:hAnsi="Times New Roman" w:cs="Times New Roman"/>
          <w:sz w:val="24"/>
          <w:szCs w:val="24"/>
        </w:rPr>
        <w:t xml:space="preserve">SCORE is </w:t>
      </w:r>
      <w:r w:rsidRPr="00C8678F">
        <w:rPr>
          <w:rFonts w:ascii="Times New Roman" w:hAnsi="Times New Roman" w:cs="Times New Roman"/>
          <w:sz w:val="24"/>
          <w:szCs w:val="24"/>
        </w:rPr>
        <w:t xml:space="preserve">expected to displace thousands of Indigenous Peoples.  </w:t>
      </w:r>
      <w:r>
        <w:rPr>
          <w:rFonts w:ascii="Times New Roman" w:hAnsi="Times New Roman" w:cs="Times New Roman"/>
          <w:sz w:val="24"/>
          <w:szCs w:val="24"/>
        </w:rPr>
        <w:t>Malaysian and Australian Indigenous groups campaigned for Hydro Tasmania to halt its involvement in the project.</w:t>
      </w:r>
      <w:r w:rsidRPr="00CB781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8678F">
        <w:rPr>
          <w:rFonts w:ascii="Times New Roman" w:hAnsi="Times New Roman" w:cs="Times New Roman"/>
          <w:sz w:val="24"/>
          <w:szCs w:val="24"/>
        </w:rPr>
        <w:t xml:space="preserve">Following a </w:t>
      </w:r>
      <w:r>
        <w:rPr>
          <w:rFonts w:ascii="Times New Roman" w:hAnsi="Times New Roman" w:cs="Times New Roman"/>
          <w:sz w:val="24"/>
          <w:szCs w:val="24"/>
        </w:rPr>
        <w:t xml:space="preserve">November 2012 </w:t>
      </w:r>
      <w:r w:rsidRPr="00C8678F">
        <w:rPr>
          <w:rFonts w:ascii="Times New Roman" w:hAnsi="Times New Roman" w:cs="Times New Roman"/>
          <w:sz w:val="24"/>
          <w:szCs w:val="24"/>
        </w:rPr>
        <w:t>meeting between an Indigenous delegation and company executives, the company committed to pulling all personnel from the project by the end of 2013, after carrying out remaining contractual obligations.</w:t>
      </w:r>
    </w:p>
    <w:p w:rsidR="00FC6AB2" w:rsidRPr="00C8678F" w:rsidRDefault="00FC6AB2" w:rsidP="00FC6AB2">
      <w:pPr>
        <w:spacing w:line="360" w:lineRule="auto"/>
        <w:jc w:val="both"/>
        <w:rPr>
          <w:rFonts w:ascii="Times New Roman" w:hAnsi="Times New Roman" w:cs="Times New Roman"/>
          <w:sz w:val="24"/>
          <w:szCs w:val="24"/>
        </w:rPr>
      </w:pPr>
      <w:r w:rsidRPr="00C8678F">
        <w:rPr>
          <w:rFonts w:ascii="Times New Roman" w:hAnsi="Times New Roman" w:cs="Times New Roman"/>
          <w:sz w:val="24"/>
          <w:szCs w:val="24"/>
        </w:rPr>
        <w:t xml:space="preserve">Sources: </w:t>
      </w:r>
      <w:hyperlink r:id="rId22" w:history="1">
        <w:r w:rsidRPr="00C8678F">
          <w:rPr>
            <w:rStyle w:val="Hyperlink"/>
            <w:rFonts w:ascii="Times New Roman" w:hAnsi="Times New Roman" w:cs="Times New Roman"/>
            <w:sz w:val="24"/>
            <w:szCs w:val="24"/>
          </w:rPr>
          <w:t>Sarawak Report</w:t>
        </w:r>
      </w:hyperlink>
      <w:r w:rsidRPr="00C8678F">
        <w:rPr>
          <w:rFonts w:ascii="Times New Roman" w:hAnsi="Times New Roman" w:cs="Times New Roman"/>
          <w:sz w:val="24"/>
          <w:szCs w:val="24"/>
        </w:rPr>
        <w:t xml:space="preserve">, </w:t>
      </w:r>
      <w:hyperlink r:id="rId23" w:history="1">
        <w:r w:rsidRPr="00C8678F">
          <w:rPr>
            <w:rStyle w:val="Hyperlink"/>
            <w:rFonts w:ascii="Times New Roman" w:hAnsi="Times New Roman" w:cs="Times New Roman"/>
            <w:sz w:val="24"/>
            <w:szCs w:val="24"/>
          </w:rPr>
          <w:t>New Matilda</w:t>
        </w:r>
      </w:hyperlink>
      <w:r w:rsidRPr="00C8678F">
        <w:rPr>
          <w:rFonts w:ascii="Times New Roman" w:hAnsi="Times New Roman" w:cs="Times New Roman"/>
          <w:sz w:val="24"/>
          <w:szCs w:val="24"/>
        </w:rPr>
        <w:t xml:space="preserve">, </w:t>
      </w:r>
      <w:hyperlink r:id="rId24" w:history="1">
        <w:r w:rsidRPr="00C8678F">
          <w:rPr>
            <w:rStyle w:val="Hyperlink"/>
            <w:rFonts w:ascii="Times New Roman" w:hAnsi="Times New Roman" w:cs="Times New Roman"/>
            <w:sz w:val="24"/>
            <w:szCs w:val="24"/>
          </w:rPr>
          <w:t>Environmental News Service</w:t>
        </w:r>
      </w:hyperlink>
    </w:p>
    <w:p w:rsidR="003F487D" w:rsidRDefault="003F487D" w:rsidP="003F487D">
      <w:pPr>
        <w:spacing w:line="360" w:lineRule="auto"/>
        <w:jc w:val="both"/>
        <w:rPr>
          <w:rFonts w:ascii="Times New Roman" w:hAnsi="Times New Roman" w:cs="Times New Roman"/>
          <w:b/>
          <w:sz w:val="28"/>
          <w:szCs w:val="28"/>
        </w:rPr>
      </w:pPr>
      <w:r>
        <w:rPr>
          <w:rFonts w:ascii="Times New Roman" w:hAnsi="Times New Roman" w:cs="Times New Roman"/>
          <w:b/>
          <w:sz w:val="28"/>
          <w:szCs w:val="28"/>
        </w:rPr>
        <w:t>The Importance of Transparency – Industry Sues SEC</w:t>
      </w:r>
    </w:p>
    <w:p w:rsidR="00234917" w:rsidRPr="004F36F3" w:rsidRDefault="00234917" w:rsidP="00234917">
      <w:pPr>
        <w:spacing w:line="360" w:lineRule="auto"/>
        <w:jc w:val="both"/>
        <w:rPr>
          <w:rFonts w:ascii="Times New Roman" w:hAnsi="Times New Roman" w:cs="Times New Roman"/>
          <w:sz w:val="24"/>
          <w:szCs w:val="24"/>
        </w:rPr>
      </w:pPr>
      <w:r w:rsidRPr="004F36F3">
        <w:rPr>
          <w:rFonts w:ascii="Times New Roman" w:hAnsi="Times New Roman" w:cs="Times New Roman"/>
          <w:sz w:val="24"/>
          <w:szCs w:val="24"/>
        </w:rPr>
        <w:t xml:space="preserve">On October 10, four industry groups </w:t>
      </w:r>
      <w:r>
        <w:rPr>
          <w:rFonts w:ascii="Times New Roman" w:hAnsi="Times New Roman" w:cs="Times New Roman"/>
          <w:sz w:val="24"/>
          <w:szCs w:val="24"/>
        </w:rPr>
        <w:t>(</w:t>
      </w:r>
      <w:r w:rsidRPr="004F36F3">
        <w:rPr>
          <w:rFonts w:ascii="Times New Roman" w:hAnsi="Times New Roman" w:cs="Times New Roman"/>
          <w:sz w:val="24"/>
          <w:szCs w:val="24"/>
        </w:rPr>
        <w:t xml:space="preserve">filed a lawsuit against the </w:t>
      </w:r>
      <w:hyperlink r:id="rId25" w:history="1">
        <w:r w:rsidRPr="00FD5040">
          <w:rPr>
            <w:rStyle w:val="Hyperlink"/>
            <w:rFonts w:ascii="Times New Roman" w:hAnsi="Times New Roman" w:cs="Times New Roman"/>
            <w:sz w:val="24"/>
            <w:szCs w:val="24"/>
          </w:rPr>
          <w:t>Securities and Exchange Commission</w:t>
        </w:r>
      </w:hyperlink>
      <w:r w:rsidRPr="004F36F3">
        <w:rPr>
          <w:rFonts w:ascii="Times New Roman" w:hAnsi="Times New Roman" w:cs="Times New Roman"/>
          <w:sz w:val="24"/>
          <w:szCs w:val="24"/>
        </w:rPr>
        <w:t xml:space="preserve"> (SEC), challenging the legality of Section 1504 of the </w:t>
      </w:r>
      <w:hyperlink r:id="rId26" w:history="1">
        <w:r w:rsidRPr="00FD5040">
          <w:rPr>
            <w:rStyle w:val="Hyperlink"/>
            <w:rFonts w:ascii="Times New Roman" w:hAnsi="Times New Roman" w:cs="Times New Roman"/>
            <w:sz w:val="24"/>
            <w:szCs w:val="24"/>
          </w:rPr>
          <w:t xml:space="preserve">Dodd-Frank </w:t>
        </w:r>
        <w:r>
          <w:rPr>
            <w:rStyle w:val="Hyperlink"/>
            <w:rFonts w:ascii="Times New Roman" w:hAnsi="Times New Roman" w:cs="Times New Roman"/>
            <w:sz w:val="24"/>
            <w:szCs w:val="24"/>
          </w:rPr>
          <w:t xml:space="preserve">Wall Street Reform and Consumer Protection </w:t>
        </w:r>
        <w:r w:rsidRPr="00FD5040">
          <w:rPr>
            <w:rStyle w:val="Hyperlink"/>
            <w:rFonts w:ascii="Times New Roman" w:hAnsi="Times New Roman" w:cs="Times New Roman"/>
            <w:sz w:val="24"/>
            <w:szCs w:val="24"/>
          </w:rPr>
          <w:t>Act</w:t>
        </w:r>
      </w:hyperlink>
      <w:r w:rsidRPr="004F36F3">
        <w:rPr>
          <w:rFonts w:ascii="Times New Roman" w:hAnsi="Times New Roman" w:cs="Times New Roman"/>
          <w:sz w:val="24"/>
          <w:szCs w:val="24"/>
        </w:rPr>
        <w:t xml:space="preserve">, which requires extractive companies to disclose all payments to governments exceeding US$100,000.  </w:t>
      </w:r>
      <w:r>
        <w:rPr>
          <w:rFonts w:ascii="Times New Roman" w:hAnsi="Times New Roman" w:cs="Times New Roman"/>
          <w:sz w:val="24"/>
          <w:szCs w:val="24"/>
        </w:rPr>
        <w:t>By requiring companies to disclose data that can be used to identify fraudulent behavior, t</w:t>
      </w:r>
      <w:r w:rsidRPr="004F36F3">
        <w:rPr>
          <w:rFonts w:ascii="Times New Roman" w:hAnsi="Times New Roman" w:cs="Times New Roman"/>
          <w:sz w:val="24"/>
          <w:szCs w:val="24"/>
        </w:rPr>
        <w:t xml:space="preserve">he law is intended to improve transparency and corporate governance.  </w:t>
      </w:r>
      <w:r>
        <w:rPr>
          <w:rFonts w:ascii="Times New Roman" w:hAnsi="Times New Roman" w:cs="Times New Roman"/>
          <w:sz w:val="24"/>
          <w:szCs w:val="24"/>
        </w:rPr>
        <w:t xml:space="preserve">A similar measure is being considered by the European Union.  </w:t>
      </w:r>
      <w:r w:rsidRPr="004F36F3">
        <w:rPr>
          <w:rFonts w:ascii="Times New Roman" w:hAnsi="Times New Roman" w:cs="Times New Roman"/>
          <w:sz w:val="24"/>
          <w:szCs w:val="24"/>
        </w:rPr>
        <w:t xml:space="preserve">The plaintiffs argue that </w:t>
      </w:r>
      <w:r>
        <w:rPr>
          <w:rFonts w:ascii="Times New Roman" w:hAnsi="Times New Roman" w:cs="Times New Roman"/>
          <w:sz w:val="24"/>
          <w:szCs w:val="24"/>
        </w:rPr>
        <w:t xml:space="preserve">the law’s </w:t>
      </w:r>
      <w:r w:rsidRPr="004F36F3">
        <w:rPr>
          <w:rFonts w:ascii="Times New Roman" w:hAnsi="Times New Roman" w:cs="Times New Roman"/>
          <w:sz w:val="24"/>
          <w:szCs w:val="24"/>
        </w:rPr>
        <w:t>benefits are difficult to quantify, and that the SEC approved the law without conducting a sufficient cost-benefit analysis.</w:t>
      </w:r>
    </w:p>
    <w:p w:rsidR="00234917" w:rsidRPr="004F36F3" w:rsidRDefault="00234917" w:rsidP="002349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company’s transparency and corporate governance are measured by a wide range of tangible and non-tangible factors, including </w:t>
      </w:r>
      <w:r w:rsidRPr="004F36F3">
        <w:rPr>
          <w:rFonts w:ascii="Times New Roman" w:hAnsi="Times New Roman" w:cs="Times New Roman"/>
          <w:sz w:val="24"/>
          <w:szCs w:val="24"/>
        </w:rPr>
        <w:t xml:space="preserve">health, </w:t>
      </w:r>
      <w:r>
        <w:rPr>
          <w:rFonts w:ascii="Times New Roman" w:hAnsi="Times New Roman" w:cs="Times New Roman"/>
          <w:sz w:val="24"/>
          <w:szCs w:val="24"/>
        </w:rPr>
        <w:t>education</w:t>
      </w:r>
      <w:r w:rsidRPr="004F36F3">
        <w:rPr>
          <w:rFonts w:ascii="Times New Roman" w:hAnsi="Times New Roman" w:cs="Times New Roman"/>
          <w:sz w:val="24"/>
          <w:szCs w:val="24"/>
        </w:rPr>
        <w:t xml:space="preserve">, </w:t>
      </w:r>
      <w:r>
        <w:rPr>
          <w:rFonts w:ascii="Times New Roman" w:hAnsi="Times New Roman" w:cs="Times New Roman"/>
          <w:sz w:val="24"/>
          <w:szCs w:val="24"/>
        </w:rPr>
        <w:t xml:space="preserve">income disparity, </w:t>
      </w:r>
      <w:r w:rsidRPr="004F36F3">
        <w:rPr>
          <w:rFonts w:ascii="Times New Roman" w:hAnsi="Times New Roman" w:cs="Times New Roman"/>
          <w:sz w:val="24"/>
          <w:szCs w:val="24"/>
        </w:rPr>
        <w:t>and cultural cohesion</w:t>
      </w:r>
      <w:r>
        <w:rPr>
          <w:rFonts w:ascii="Times New Roman" w:hAnsi="Times New Roman" w:cs="Times New Roman"/>
          <w:sz w:val="24"/>
          <w:szCs w:val="24"/>
        </w:rPr>
        <w:t xml:space="preserve"> of affected communities.  Companies must be willing</w:t>
      </w:r>
      <w:r w:rsidRPr="004F36F3">
        <w:rPr>
          <w:rFonts w:ascii="Times New Roman" w:hAnsi="Times New Roman" w:cs="Times New Roman"/>
          <w:sz w:val="24"/>
          <w:szCs w:val="24"/>
        </w:rPr>
        <w:t xml:space="preserve"> to perform the research and consultation necessary to adequately measure</w:t>
      </w:r>
      <w:r>
        <w:rPr>
          <w:rFonts w:ascii="Times New Roman" w:hAnsi="Times New Roman" w:cs="Times New Roman"/>
          <w:sz w:val="24"/>
          <w:szCs w:val="24"/>
        </w:rPr>
        <w:t xml:space="preserve"> these important factors.</w:t>
      </w:r>
    </w:p>
    <w:p w:rsidR="00234917" w:rsidRPr="004F36F3" w:rsidRDefault="00234917" w:rsidP="00234917">
      <w:pPr>
        <w:spacing w:line="360" w:lineRule="auto"/>
        <w:jc w:val="both"/>
        <w:rPr>
          <w:rFonts w:ascii="Times New Roman" w:hAnsi="Times New Roman" w:cs="Times New Roman"/>
          <w:sz w:val="24"/>
          <w:szCs w:val="24"/>
        </w:rPr>
      </w:pPr>
      <w:r w:rsidRPr="004F36F3">
        <w:rPr>
          <w:rFonts w:ascii="Times New Roman" w:hAnsi="Times New Roman" w:cs="Times New Roman"/>
          <w:sz w:val="24"/>
          <w:szCs w:val="24"/>
        </w:rPr>
        <w:t xml:space="preserve">Sources: </w:t>
      </w:r>
      <w:hyperlink r:id="rId27" w:history="1">
        <w:r w:rsidRPr="004F36F3">
          <w:rPr>
            <w:rStyle w:val="Hyperlink"/>
            <w:rFonts w:ascii="Times New Roman" w:hAnsi="Times New Roman" w:cs="Times New Roman"/>
            <w:sz w:val="24"/>
            <w:szCs w:val="24"/>
          </w:rPr>
          <w:t>The Hill</w:t>
        </w:r>
      </w:hyperlink>
      <w:r w:rsidRPr="004F36F3">
        <w:rPr>
          <w:rFonts w:ascii="Times New Roman" w:hAnsi="Times New Roman" w:cs="Times New Roman"/>
          <w:sz w:val="24"/>
          <w:szCs w:val="24"/>
        </w:rPr>
        <w:t xml:space="preserve">, </w:t>
      </w:r>
      <w:hyperlink r:id="rId28" w:history="1">
        <w:r w:rsidRPr="004F36F3">
          <w:rPr>
            <w:rStyle w:val="Hyperlink"/>
            <w:rFonts w:ascii="Times New Roman" w:hAnsi="Times New Roman" w:cs="Times New Roman"/>
            <w:sz w:val="24"/>
            <w:szCs w:val="24"/>
          </w:rPr>
          <w:t>Bloomberg</w:t>
        </w:r>
      </w:hyperlink>
      <w:r w:rsidRPr="004F36F3">
        <w:rPr>
          <w:rFonts w:ascii="Times New Roman" w:hAnsi="Times New Roman" w:cs="Times New Roman"/>
          <w:sz w:val="24"/>
          <w:szCs w:val="24"/>
        </w:rPr>
        <w:t xml:space="preserve">, </w:t>
      </w:r>
      <w:hyperlink r:id="rId29" w:history="1">
        <w:r w:rsidRPr="004F36F3">
          <w:rPr>
            <w:rStyle w:val="Hyperlink"/>
            <w:rFonts w:ascii="Times New Roman" w:hAnsi="Times New Roman" w:cs="Times New Roman"/>
            <w:sz w:val="24"/>
            <w:szCs w:val="24"/>
          </w:rPr>
          <w:t>Foley Hoag</w:t>
        </w:r>
      </w:hyperlink>
    </w:p>
    <w:p w:rsidR="00FC6AB2" w:rsidRDefault="00FC6AB2" w:rsidP="00FC6AB2">
      <w:pPr>
        <w:spacing w:line="360" w:lineRule="auto"/>
        <w:jc w:val="both"/>
        <w:rPr>
          <w:rFonts w:ascii="Times New Roman" w:hAnsi="Times New Roman" w:cs="Times New Roman"/>
          <w:sz w:val="28"/>
          <w:szCs w:val="28"/>
        </w:rPr>
      </w:pPr>
      <w:r>
        <w:rPr>
          <w:rFonts w:ascii="Times New Roman" w:hAnsi="Times New Roman" w:cs="Times New Roman"/>
          <w:b/>
          <w:sz w:val="28"/>
          <w:szCs w:val="28"/>
        </w:rPr>
        <w:t>Policy Alert - Native Americans Oppose Coal Terminals</w:t>
      </w:r>
    </w:p>
    <w:p w:rsidR="00FC6AB2" w:rsidRPr="00C8678F" w:rsidRDefault="00FC6AB2" w:rsidP="00FC6AB2">
      <w:pPr>
        <w:spacing w:line="360" w:lineRule="auto"/>
        <w:jc w:val="both"/>
        <w:rPr>
          <w:rFonts w:ascii="Times New Roman" w:hAnsi="Times New Roman" w:cs="Times New Roman"/>
          <w:sz w:val="24"/>
          <w:szCs w:val="24"/>
        </w:rPr>
      </w:pPr>
      <w:r w:rsidRPr="00C8678F">
        <w:rPr>
          <w:rFonts w:ascii="Times New Roman" w:hAnsi="Times New Roman" w:cs="Times New Roman"/>
          <w:sz w:val="24"/>
          <w:szCs w:val="24"/>
        </w:rPr>
        <w:t xml:space="preserve">Native American tribes are opposing the construction of coal export terminals along the coast of Oregon and Washington.  The tribes allege that the terminals pose environmental risks to their natural resources and sacred sites, which are protected by treaties signed with the federal government in the nineteenth century.  In September 2012, the </w:t>
      </w:r>
      <w:hyperlink r:id="rId30" w:history="1">
        <w:r w:rsidRPr="00C8678F">
          <w:rPr>
            <w:rStyle w:val="Hyperlink"/>
            <w:rFonts w:ascii="Times New Roman" w:hAnsi="Times New Roman" w:cs="Times New Roman"/>
            <w:sz w:val="24"/>
            <w:szCs w:val="24"/>
          </w:rPr>
          <w:t>Affiliated Tribes of Northwest Indians</w:t>
        </w:r>
      </w:hyperlink>
      <w:r w:rsidRPr="00C8678F">
        <w:rPr>
          <w:rFonts w:ascii="Times New Roman" w:hAnsi="Times New Roman" w:cs="Times New Roman"/>
          <w:sz w:val="24"/>
          <w:szCs w:val="24"/>
        </w:rPr>
        <w:t xml:space="preserve"> requested th</w:t>
      </w:r>
      <w:r w:rsidR="00055B9C">
        <w:rPr>
          <w:rFonts w:ascii="Times New Roman" w:hAnsi="Times New Roman" w:cs="Times New Roman"/>
          <w:sz w:val="24"/>
          <w:szCs w:val="24"/>
        </w:rPr>
        <w:t>at th</w:t>
      </w:r>
      <w:r w:rsidRPr="00C8678F">
        <w:rPr>
          <w:rFonts w:ascii="Times New Roman" w:hAnsi="Times New Roman" w:cs="Times New Roman"/>
          <w:sz w:val="24"/>
          <w:szCs w:val="24"/>
        </w:rPr>
        <w:t>e federal government conduct a collective environmental impact assessment for all the terminals, rather than individual assessments for each terminal.</w:t>
      </w:r>
    </w:p>
    <w:p w:rsidR="00FC6AB2" w:rsidRPr="00C8678F" w:rsidRDefault="00FC6AB2" w:rsidP="00FC6AB2">
      <w:pPr>
        <w:spacing w:line="360" w:lineRule="auto"/>
        <w:jc w:val="both"/>
        <w:rPr>
          <w:rFonts w:ascii="Times New Roman" w:hAnsi="Times New Roman" w:cs="Times New Roman"/>
          <w:sz w:val="24"/>
          <w:szCs w:val="24"/>
        </w:rPr>
      </w:pPr>
      <w:r w:rsidRPr="00C8678F">
        <w:rPr>
          <w:rFonts w:ascii="Times New Roman" w:hAnsi="Times New Roman" w:cs="Times New Roman"/>
          <w:sz w:val="24"/>
          <w:szCs w:val="24"/>
        </w:rPr>
        <w:t>Native American treaty rights will have key implications for the debate</w:t>
      </w:r>
      <w:r>
        <w:rPr>
          <w:rFonts w:ascii="Times New Roman" w:hAnsi="Times New Roman" w:cs="Times New Roman"/>
          <w:sz w:val="24"/>
          <w:szCs w:val="24"/>
        </w:rPr>
        <w:t xml:space="preserve"> surrounding the terminals</w:t>
      </w:r>
      <w:r w:rsidRPr="00C8678F">
        <w:rPr>
          <w:rFonts w:ascii="Times New Roman" w:hAnsi="Times New Roman" w:cs="Times New Roman"/>
          <w:sz w:val="24"/>
          <w:szCs w:val="24"/>
        </w:rPr>
        <w:t>.  Trib</w:t>
      </w:r>
      <w:r>
        <w:rPr>
          <w:rFonts w:ascii="Times New Roman" w:hAnsi="Times New Roman" w:cs="Times New Roman"/>
          <w:sz w:val="24"/>
          <w:szCs w:val="24"/>
        </w:rPr>
        <w:t>es</w:t>
      </w:r>
      <w:r w:rsidRPr="00C8678F">
        <w:rPr>
          <w:rFonts w:ascii="Times New Roman" w:hAnsi="Times New Roman" w:cs="Times New Roman"/>
          <w:sz w:val="24"/>
          <w:szCs w:val="24"/>
        </w:rPr>
        <w:t xml:space="preserve"> in the Pacific Northwest have historically exercised greater influence over their natural resources than tribes in other regions of the</w:t>
      </w:r>
      <w:r>
        <w:rPr>
          <w:rFonts w:ascii="Times New Roman" w:hAnsi="Times New Roman" w:cs="Times New Roman"/>
          <w:sz w:val="24"/>
          <w:szCs w:val="24"/>
        </w:rPr>
        <w:t xml:space="preserve"> US</w:t>
      </w:r>
      <w:r w:rsidRPr="00C8678F">
        <w:rPr>
          <w:rFonts w:ascii="Times New Roman" w:hAnsi="Times New Roman" w:cs="Times New Roman"/>
          <w:sz w:val="24"/>
          <w:szCs w:val="24"/>
        </w:rPr>
        <w:t>.  In 1974, the US Supreme Court reaffirmed tribal communities</w:t>
      </w:r>
      <w:r>
        <w:rPr>
          <w:rFonts w:ascii="Times New Roman" w:hAnsi="Times New Roman" w:cs="Times New Roman"/>
          <w:sz w:val="24"/>
          <w:szCs w:val="24"/>
        </w:rPr>
        <w:t>’ rights</w:t>
      </w:r>
      <w:r w:rsidRPr="00C8678F">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C8678F">
        <w:rPr>
          <w:rFonts w:ascii="Times New Roman" w:hAnsi="Times New Roman" w:cs="Times New Roman"/>
          <w:sz w:val="24"/>
          <w:szCs w:val="24"/>
        </w:rPr>
        <w:t>co-</w:t>
      </w:r>
      <w:r>
        <w:rPr>
          <w:rFonts w:ascii="Times New Roman" w:hAnsi="Times New Roman" w:cs="Times New Roman"/>
          <w:sz w:val="24"/>
          <w:szCs w:val="24"/>
        </w:rPr>
        <w:t>regulate</w:t>
      </w:r>
      <w:r w:rsidRPr="00C8678F">
        <w:rPr>
          <w:rFonts w:ascii="Times New Roman" w:hAnsi="Times New Roman" w:cs="Times New Roman"/>
          <w:sz w:val="24"/>
          <w:szCs w:val="24"/>
        </w:rPr>
        <w:t xml:space="preserve"> salmon </w:t>
      </w:r>
      <w:r>
        <w:rPr>
          <w:rFonts w:ascii="Times New Roman" w:hAnsi="Times New Roman" w:cs="Times New Roman"/>
          <w:sz w:val="24"/>
          <w:szCs w:val="24"/>
        </w:rPr>
        <w:t>production in Washington</w:t>
      </w:r>
      <w:r w:rsidRPr="00C8678F">
        <w:rPr>
          <w:rFonts w:ascii="Times New Roman" w:hAnsi="Times New Roman" w:cs="Times New Roman"/>
          <w:sz w:val="24"/>
          <w:szCs w:val="24"/>
        </w:rPr>
        <w:t xml:space="preserve">.  In 2012, </w:t>
      </w:r>
      <w:r>
        <w:rPr>
          <w:rFonts w:ascii="Times New Roman" w:hAnsi="Times New Roman" w:cs="Times New Roman"/>
          <w:sz w:val="24"/>
          <w:szCs w:val="24"/>
        </w:rPr>
        <w:t xml:space="preserve">tribal </w:t>
      </w:r>
      <w:r w:rsidRPr="00C8678F">
        <w:rPr>
          <w:rFonts w:ascii="Times New Roman" w:hAnsi="Times New Roman" w:cs="Times New Roman"/>
          <w:sz w:val="24"/>
          <w:szCs w:val="24"/>
        </w:rPr>
        <w:t xml:space="preserve">fishing rights were a driving force behind the removal of the Elwha River </w:t>
      </w:r>
      <w:r>
        <w:rPr>
          <w:rFonts w:ascii="Times New Roman" w:hAnsi="Times New Roman" w:cs="Times New Roman"/>
          <w:sz w:val="24"/>
          <w:szCs w:val="24"/>
        </w:rPr>
        <w:t xml:space="preserve">Dam </w:t>
      </w:r>
      <w:r w:rsidRPr="00C8678F">
        <w:rPr>
          <w:rFonts w:ascii="Times New Roman" w:hAnsi="Times New Roman" w:cs="Times New Roman"/>
          <w:sz w:val="24"/>
          <w:szCs w:val="24"/>
        </w:rPr>
        <w:t xml:space="preserve">in Washington, one of the largest dam removal projects in </w:t>
      </w:r>
      <w:r>
        <w:rPr>
          <w:rFonts w:ascii="Times New Roman" w:hAnsi="Times New Roman" w:cs="Times New Roman"/>
          <w:sz w:val="24"/>
          <w:szCs w:val="24"/>
        </w:rPr>
        <w:t xml:space="preserve">US </w:t>
      </w:r>
      <w:r w:rsidRPr="00C8678F">
        <w:rPr>
          <w:rFonts w:ascii="Times New Roman" w:hAnsi="Times New Roman" w:cs="Times New Roman"/>
          <w:sz w:val="24"/>
          <w:szCs w:val="24"/>
        </w:rPr>
        <w:t>history.</w:t>
      </w:r>
    </w:p>
    <w:p w:rsidR="00FC6AB2" w:rsidRDefault="00FC6AB2" w:rsidP="003165FA">
      <w:pPr>
        <w:spacing w:line="360" w:lineRule="auto"/>
        <w:jc w:val="both"/>
      </w:pPr>
      <w:r w:rsidRPr="00C8678F">
        <w:rPr>
          <w:rFonts w:ascii="Times New Roman" w:hAnsi="Times New Roman" w:cs="Times New Roman"/>
          <w:sz w:val="24"/>
          <w:szCs w:val="24"/>
        </w:rPr>
        <w:t xml:space="preserve">Sources: </w:t>
      </w:r>
      <w:hyperlink r:id="rId31" w:history="1">
        <w:r w:rsidRPr="00C8678F">
          <w:rPr>
            <w:rStyle w:val="Hyperlink"/>
            <w:rFonts w:ascii="Times New Roman" w:hAnsi="Times New Roman" w:cs="Times New Roman"/>
            <w:sz w:val="24"/>
            <w:szCs w:val="24"/>
          </w:rPr>
          <w:t>New York Times</w:t>
        </w:r>
      </w:hyperlink>
    </w:p>
    <w:p w:rsidR="00234917" w:rsidRPr="004B71B7" w:rsidRDefault="00234917" w:rsidP="00234917">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Policy Alert – The Duty to Consult After </w:t>
      </w:r>
      <w:proofErr w:type="spellStart"/>
      <w:r>
        <w:rPr>
          <w:rFonts w:ascii="Times New Roman" w:hAnsi="Times New Roman" w:cs="Times New Roman"/>
          <w:b/>
          <w:sz w:val="28"/>
          <w:szCs w:val="28"/>
        </w:rPr>
        <w:t>Sarayaku</w:t>
      </w:r>
      <w:proofErr w:type="spellEnd"/>
    </w:p>
    <w:p w:rsidR="00234917" w:rsidRDefault="00234917" w:rsidP="002349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hyperlink r:id="rId32" w:history="1">
        <w:r w:rsidRPr="00FD5040">
          <w:rPr>
            <w:rStyle w:val="Hyperlink"/>
            <w:rFonts w:ascii="Times New Roman" w:hAnsi="Times New Roman" w:cs="Times New Roman"/>
            <w:sz w:val="24"/>
            <w:szCs w:val="24"/>
          </w:rPr>
          <w:t>American Society of International Law</w:t>
        </w:r>
      </w:hyperlink>
      <w:r>
        <w:rPr>
          <w:rFonts w:ascii="Times New Roman" w:hAnsi="Times New Roman" w:cs="Times New Roman"/>
          <w:sz w:val="24"/>
          <w:szCs w:val="24"/>
        </w:rPr>
        <w:t xml:space="preserve"> published a </w:t>
      </w:r>
      <w:hyperlink r:id="rId33" w:history="1">
        <w:r>
          <w:rPr>
            <w:rStyle w:val="Hyperlink"/>
            <w:rFonts w:ascii="Times New Roman" w:hAnsi="Times New Roman" w:cs="Times New Roman"/>
            <w:sz w:val="24"/>
            <w:szCs w:val="24"/>
          </w:rPr>
          <w:t>study</w:t>
        </w:r>
      </w:hyperlink>
      <w:r>
        <w:rPr>
          <w:rFonts w:ascii="Times New Roman" w:hAnsi="Times New Roman" w:cs="Times New Roman"/>
          <w:sz w:val="24"/>
          <w:szCs w:val="24"/>
        </w:rPr>
        <w:t xml:space="preserve"> examining the implications of the 2012 </w:t>
      </w:r>
      <w:hyperlink r:id="rId34" w:history="1">
        <w:r w:rsidRPr="00FD5040">
          <w:rPr>
            <w:rStyle w:val="Hyperlink"/>
            <w:rFonts w:ascii="Times New Roman" w:hAnsi="Times New Roman" w:cs="Times New Roman"/>
            <w:color w:val="auto"/>
            <w:sz w:val="24"/>
            <w:szCs w:val="24"/>
          </w:rPr>
          <w:t>Inter-American Commission on Human Rights</w:t>
        </w:r>
      </w:hyperlink>
      <w:r>
        <w:rPr>
          <w:rFonts w:ascii="Times New Roman" w:hAnsi="Times New Roman" w:cs="Times New Roman"/>
          <w:sz w:val="24"/>
          <w:szCs w:val="24"/>
        </w:rPr>
        <w:t xml:space="preserve"> (IACHR) </w:t>
      </w:r>
      <w:hyperlink r:id="rId35" w:history="1">
        <w:r w:rsidRPr="00FD5040">
          <w:rPr>
            <w:rStyle w:val="Hyperlink"/>
            <w:rFonts w:ascii="Times New Roman" w:hAnsi="Times New Roman" w:cs="Times New Roman"/>
            <w:sz w:val="24"/>
            <w:szCs w:val="24"/>
          </w:rPr>
          <w:t>ruling</w:t>
        </w:r>
      </w:hyperlink>
      <w:r>
        <w:rPr>
          <w:rFonts w:ascii="Times New Roman" w:hAnsi="Times New Roman" w:cs="Times New Roman"/>
          <w:sz w:val="24"/>
          <w:szCs w:val="24"/>
        </w:rPr>
        <w:t xml:space="preserve"> declaring that Ecuador’s</w:t>
      </w:r>
      <w:r w:rsidRPr="00FC4EFC">
        <w:rPr>
          <w:rFonts w:ascii="Times New Roman" w:hAnsi="Times New Roman" w:cs="Times New Roman"/>
          <w:sz w:val="24"/>
          <w:szCs w:val="24"/>
        </w:rPr>
        <w:t xml:space="preserve"> </w:t>
      </w:r>
      <w:r>
        <w:rPr>
          <w:rFonts w:ascii="Times New Roman" w:hAnsi="Times New Roman" w:cs="Times New Roman"/>
          <w:sz w:val="24"/>
          <w:szCs w:val="24"/>
        </w:rPr>
        <w:t xml:space="preserve">failure to consult with the </w:t>
      </w:r>
      <w:proofErr w:type="spellStart"/>
      <w:r>
        <w:rPr>
          <w:rFonts w:ascii="Times New Roman" w:hAnsi="Times New Roman" w:cs="Times New Roman"/>
          <w:sz w:val="24"/>
          <w:szCs w:val="24"/>
        </w:rPr>
        <w:t>Sarayaku</w:t>
      </w:r>
      <w:proofErr w:type="spellEnd"/>
      <w:r>
        <w:rPr>
          <w:rFonts w:ascii="Times New Roman" w:hAnsi="Times New Roman" w:cs="Times New Roman"/>
          <w:sz w:val="24"/>
          <w:szCs w:val="24"/>
        </w:rPr>
        <w:t xml:space="preserve"> people before conceding their territory to oil companies was a violation of international law.  Ecuador argued that it did not ratify </w:t>
      </w:r>
      <w:hyperlink r:id="rId36" w:history="1">
        <w:r w:rsidRPr="00FC4EFC">
          <w:rPr>
            <w:rStyle w:val="Hyperlink"/>
            <w:rFonts w:ascii="Times New Roman" w:hAnsi="Times New Roman" w:cs="Times New Roman"/>
            <w:sz w:val="24"/>
            <w:szCs w:val="24"/>
          </w:rPr>
          <w:t>ILO Convention 169</w:t>
        </w:r>
      </w:hyperlink>
      <w:r>
        <w:rPr>
          <w:rFonts w:ascii="Times New Roman" w:hAnsi="Times New Roman" w:cs="Times New Roman"/>
          <w:sz w:val="24"/>
          <w:szCs w:val="24"/>
        </w:rPr>
        <w:t xml:space="preserve">, which affirms Indigenous Peoples’ consultation rights, until after making the concession, but the IACHR held that the duty to consult was a “general principle of international law.”  The decision sets a precedent for holding all countries in the </w:t>
      </w:r>
      <w:hyperlink r:id="rId37" w:history="1">
        <w:r w:rsidRPr="00806D6D">
          <w:rPr>
            <w:rStyle w:val="Hyperlink"/>
            <w:rFonts w:ascii="Times New Roman" w:hAnsi="Times New Roman" w:cs="Times New Roman"/>
            <w:sz w:val="24"/>
            <w:szCs w:val="24"/>
          </w:rPr>
          <w:t>Organization of American States</w:t>
        </w:r>
      </w:hyperlink>
      <w:r>
        <w:rPr>
          <w:rFonts w:ascii="Times New Roman" w:hAnsi="Times New Roman" w:cs="Times New Roman"/>
          <w:sz w:val="24"/>
          <w:szCs w:val="24"/>
        </w:rPr>
        <w:t xml:space="preserve"> accountable to consulting with Indigenous Peoples regarding development on their territories, regardless of what international instruments they have ratified.</w:t>
      </w:r>
    </w:p>
    <w:p w:rsidR="00234917" w:rsidRDefault="00234917" w:rsidP="00234917">
      <w:pPr>
        <w:spacing w:line="360" w:lineRule="auto"/>
        <w:jc w:val="both"/>
        <w:rPr>
          <w:rFonts w:ascii="Times New Roman" w:hAnsi="Times New Roman" w:cs="Times New Roman"/>
          <w:sz w:val="24"/>
          <w:szCs w:val="24"/>
        </w:rPr>
      </w:pPr>
      <w:r w:rsidRPr="00FD5040">
        <w:rPr>
          <w:rFonts w:ascii="Times New Roman" w:hAnsi="Times New Roman" w:cs="Times New Roman"/>
          <w:sz w:val="24"/>
          <w:szCs w:val="24"/>
        </w:rPr>
        <w:t xml:space="preserve">In a recent interview with the </w:t>
      </w:r>
      <w:hyperlink r:id="rId38" w:history="1">
        <w:r w:rsidRPr="00FD5040">
          <w:rPr>
            <w:rStyle w:val="Hyperlink"/>
            <w:rFonts w:ascii="Times New Roman" w:hAnsi="Times New Roman" w:cs="Times New Roman"/>
            <w:sz w:val="24"/>
            <w:szCs w:val="24"/>
          </w:rPr>
          <w:t>New Left Review</w:t>
        </w:r>
      </w:hyperlink>
      <w:r w:rsidRPr="00FD5040">
        <w:rPr>
          <w:rFonts w:ascii="Times New Roman" w:hAnsi="Times New Roman" w:cs="Times New Roman"/>
          <w:sz w:val="24"/>
          <w:szCs w:val="24"/>
        </w:rPr>
        <w:t xml:space="preserve">, Ecuadorian President Rafael </w:t>
      </w:r>
      <w:proofErr w:type="spellStart"/>
      <w:r w:rsidRPr="00FD5040">
        <w:rPr>
          <w:rFonts w:ascii="Times New Roman" w:hAnsi="Times New Roman" w:cs="Times New Roman"/>
          <w:sz w:val="24"/>
          <w:szCs w:val="24"/>
        </w:rPr>
        <w:t>Correra</w:t>
      </w:r>
      <w:proofErr w:type="spellEnd"/>
      <w:r w:rsidRPr="00FD5040">
        <w:rPr>
          <w:rFonts w:ascii="Times New Roman" w:hAnsi="Times New Roman" w:cs="Times New Roman"/>
          <w:sz w:val="24"/>
          <w:szCs w:val="24"/>
        </w:rPr>
        <w:t xml:space="preserve"> expressed support for oil exploration, but acknowledged its environmental ramifications and insisted that companies “exploit those resources in the right way.”</w:t>
      </w:r>
    </w:p>
    <w:p w:rsidR="003F487D" w:rsidRPr="003F487D" w:rsidRDefault="00234917" w:rsidP="00C60F14">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Sources: </w:t>
      </w:r>
      <w:hyperlink r:id="rId39" w:history="1">
        <w:r>
          <w:rPr>
            <w:rStyle w:val="Hyperlink"/>
            <w:rFonts w:ascii="Times New Roman" w:hAnsi="Times New Roman" w:cs="Times New Roman"/>
            <w:sz w:val="24"/>
            <w:szCs w:val="24"/>
          </w:rPr>
          <w:t>American Society of International Law</w:t>
        </w:r>
      </w:hyperlink>
      <w:r>
        <w:rPr>
          <w:rFonts w:ascii="Times New Roman" w:hAnsi="Times New Roman" w:cs="Times New Roman"/>
          <w:sz w:val="24"/>
          <w:szCs w:val="24"/>
        </w:rPr>
        <w:t xml:space="preserve">, </w:t>
      </w:r>
      <w:hyperlink r:id="rId40" w:history="1">
        <w:r w:rsidRPr="00043FE6">
          <w:rPr>
            <w:rStyle w:val="Hyperlink"/>
            <w:rFonts w:ascii="Times New Roman" w:hAnsi="Times New Roman" w:cs="Times New Roman"/>
            <w:sz w:val="24"/>
            <w:szCs w:val="24"/>
          </w:rPr>
          <w:t>Green Left</w:t>
        </w:r>
      </w:hyperlink>
    </w:p>
    <w:sectPr w:rsidR="003F487D" w:rsidRPr="003F487D" w:rsidSect="00A87A92">
      <w:footerReference w:type="default" r:id="rId4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0F14" w:rsidRDefault="00C60F14" w:rsidP="000E456E">
      <w:pPr>
        <w:spacing w:after="0" w:line="240" w:lineRule="auto"/>
      </w:pPr>
      <w:r>
        <w:separator/>
      </w:r>
    </w:p>
  </w:endnote>
  <w:endnote w:type="continuationSeparator" w:id="0">
    <w:p w:rsidR="00C60F14" w:rsidRDefault="00C60F14" w:rsidP="000E45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Quicksand Book Regular">
    <w:altName w:val="Palatino Linotype"/>
    <w:charset w:val="00"/>
    <w:family w:val="auto"/>
    <w:pitch w:val="variable"/>
    <w:sig w:usb0="00000001" w:usb1="00000008" w:usb2="00000000" w:usb3="00000000" w:csb0="0000011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F14" w:rsidRDefault="00C60F14" w:rsidP="000E456E">
    <w:pPr>
      <w:pStyle w:val="Footer"/>
      <w:jc w:val="center"/>
      <w:rPr>
        <w:rFonts w:ascii="Quicksand Book Regular" w:hAnsi="Quicksand Book Regular"/>
        <w:color w:val="000000"/>
        <w:sz w:val="18"/>
        <w:szCs w:val="18"/>
      </w:rPr>
    </w:pPr>
    <w:r>
      <w:rPr>
        <w:rFonts w:ascii="Quicksand Book Regular" w:hAnsi="Quicksand Book Regular"/>
        <w:noProof/>
        <w:color w:val="000000"/>
        <w:sz w:val="18"/>
        <w:szCs w:val="18"/>
      </w:rPr>
      <w:drawing>
        <wp:anchor distT="0" distB="0" distL="114300" distR="114300" simplePos="0" relativeHeight="251659264" behindDoc="1" locked="0" layoutInCell="1" allowOverlap="1">
          <wp:simplePos x="0" y="0"/>
          <wp:positionH relativeFrom="column">
            <wp:align>center</wp:align>
          </wp:positionH>
          <wp:positionV relativeFrom="page">
            <wp:align>bottom</wp:align>
          </wp:positionV>
          <wp:extent cx="7772400" cy="457200"/>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772400" cy="457200"/>
                  </a:xfrm>
                  <a:prstGeom prst="rect">
                    <a:avLst/>
                  </a:prstGeom>
                  <a:noFill/>
                  <a:ln w="9525">
                    <a:noFill/>
                    <a:miter lim="800000"/>
                    <a:headEnd/>
                    <a:tailEnd/>
                  </a:ln>
                </pic:spPr>
              </pic:pic>
            </a:graphicData>
          </a:graphic>
        </wp:anchor>
      </w:drawing>
    </w:r>
  </w:p>
  <w:p w:rsidR="00C60F14" w:rsidRPr="008038EE" w:rsidRDefault="00C60F14" w:rsidP="000E456E">
    <w:pPr>
      <w:pStyle w:val="Footer"/>
      <w:jc w:val="center"/>
      <w:rPr>
        <w:rFonts w:ascii="Quicksand Book Regular" w:hAnsi="Quicksand Book Regular"/>
        <w:color w:val="000000"/>
        <w:sz w:val="18"/>
        <w:szCs w:val="18"/>
      </w:rPr>
    </w:pPr>
    <w:r w:rsidRPr="008038EE">
      <w:rPr>
        <w:rFonts w:ascii="Quicksand Book Regular" w:hAnsi="Quicksand Book Regular"/>
        <w:color w:val="000000"/>
        <w:sz w:val="18"/>
        <w:szCs w:val="18"/>
      </w:rPr>
      <w:t xml:space="preserve">First Peoples Worldwide | 857 Leeland Rd Fredericksburg, VA 22405 | </w:t>
    </w:r>
    <w:hyperlink r:id="rId2" w:tgtFrame="_blank" w:history="1">
      <w:r w:rsidRPr="008038EE">
        <w:rPr>
          <w:rStyle w:val="Hyperlink"/>
          <w:rFonts w:ascii="Quicksand Book Regular" w:eastAsia="Times New Roman" w:hAnsi="Quicksand Book Regular"/>
          <w:color w:val="000000"/>
          <w:sz w:val="18"/>
          <w:szCs w:val="18"/>
          <w:u w:val="none"/>
        </w:rPr>
        <w:t>(540) 899-6545</w:t>
      </w:r>
    </w:hyperlink>
  </w:p>
  <w:p w:rsidR="00C60F14" w:rsidRDefault="00C60F14" w:rsidP="000E45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0F14" w:rsidRDefault="00C60F14" w:rsidP="000E456E">
      <w:pPr>
        <w:spacing w:after="0" w:line="240" w:lineRule="auto"/>
      </w:pPr>
      <w:r>
        <w:separator/>
      </w:r>
    </w:p>
  </w:footnote>
  <w:footnote w:type="continuationSeparator" w:id="0">
    <w:p w:rsidR="00C60F14" w:rsidRDefault="00C60F14" w:rsidP="000E456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6C58F4"/>
    <w:rsid w:val="00003805"/>
    <w:rsid w:val="0000551B"/>
    <w:rsid w:val="000246CB"/>
    <w:rsid w:val="00043FE6"/>
    <w:rsid w:val="0004550F"/>
    <w:rsid w:val="00055B9C"/>
    <w:rsid w:val="000724E4"/>
    <w:rsid w:val="000768AA"/>
    <w:rsid w:val="000800BC"/>
    <w:rsid w:val="00090698"/>
    <w:rsid w:val="00092DC4"/>
    <w:rsid w:val="00097BD6"/>
    <w:rsid w:val="000E456E"/>
    <w:rsid w:val="000F5FF4"/>
    <w:rsid w:val="00102FBB"/>
    <w:rsid w:val="001178D1"/>
    <w:rsid w:val="00126EE9"/>
    <w:rsid w:val="00144532"/>
    <w:rsid w:val="00145101"/>
    <w:rsid w:val="00151ACE"/>
    <w:rsid w:val="00160C12"/>
    <w:rsid w:val="00175805"/>
    <w:rsid w:val="001937E9"/>
    <w:rsid w:val="001A1D60"/>
    <w:rsid w:val="001A3501"/>
    <w:rsid w:val="00234917"/>
    <w:rsid w:val="00257B6E"/>
    <w:rsid w:val="00260894"/>
    <w:rsid w:val="0027524F"/>
    <w:rsid w:val="00281547"/>
    <w:rsid w:val="00281660"/>
    <w:rsid w:val="0028787D"/>
    <w:rsid w:val="00292655"/>
    <w:rsid w:val="002C185F"/>
    <w:rsid w:val="002D0880"/>
    <w:rsid w:val="002E1D31"/>
    <w:rsid w:val="002F1723"/>
    <w:rsid w:val="00304F50"/>
    <w:rsid w:val="003111A4"/>
    <w:rsid w:val="003163EC"/>
    <w:rsid w:val="003165FA"/>
    <w:rsid w:val="00341562"/>
    <w:rsid w:val="00344CBC"/>
    <w:rsid w:val="00353AD8"/>
    <w:rsid w:val="00353D5C"/>
    <w:rsid w:val="00354D7E"/>
    <w:rsid w:val="00355EF2"/>
    <w:rsid w:val="00361343"/>
    <w:rsid w:val="00374C14"/>
    <w:rsid w:val="00383467"/>
    <w:rsid w:val="00385225"/>
    <w:rsid w:val="003E387E"/>
    <w:rsid w:val="003F487D"/>
    <w:rsid w:val="0044267A"/>
    <w:rsid w:val="00450D14"/>
    <w:rsid w:val="00464550"/>
    <w:rsid w:val="00466B8F"/>
    <w:rsid w:val="00485AF0"/>
    <w:rsid w:val="00486326"/>
    <w:rsid w:val="004A3828"/>
    <w:rsid w:val="004C2AE3"/>
    <w:rsid w:val="004D6C9D"/>
    <w:rsid w:val="00514913"/>
    <w:rsid w:val="00517040"/>
    <w:rsid w:val="005270A0"/>
    <w:rsid w:val="00550259"/>
    <w:rsid w:val="00567C8A"/>
    <w:rsid w:val="005710B1"/>
    <w:rsid w:val="0057177B"/>
    <w:rsid w:val="0059723F"/>
    <w:rsid w:val="005A19B7"/>
    <w:rsid w:val="005A6D8E"/>
    <w:rsid w:val="00606167"/>
    <w:rsid w:val="00610741"/>
    <w:rsid w:val="00620AA1"/>
    <w:rsid w:val="00620C2E"/>
    <w:rsid w:val="00636D2D"/>
    <w:rsid w:val="00643F74"/>
    <w:rsid w:val="00675F0F"/>
    <w:rsid w:val="006803DF"/>
    <w:rsid w:val="0069754F"/>
    <w:rsid w:val="006A2BA5"/>
    <w:rsid w:val="006C29DD"/>
    <w:rsid w:val="006C5439"/>
    <w:rsid w:val="006C58F4"/>
    <w:rsid w:val="006D1920"/>
    <w:rsid w:val="006D2C29"/>
    <w:rsid w:val="006D2E0E"/>
    <w:rsid w:val="006F7070"/>
    <w:rsid w:val="00704B82"/>
    <w:rsid w:val="00706682"/>
    <w:rsid w:val="00707152"/>
    <w:rsid w:val="00707B1C"/>
    <w:rsid w:val="00711DEA"/>
    <w:rsid w:val="00712479"/>
    <w:rsid w:val="0072495D"/>
    <w:rsid w:val="00727E15"/>
    <w:rsid w:val="00762A83"/>
    <w:rsid w:val="007671DF"/>
    <w:rsid w:val="00772B74"/>
    <w:rsid w:val="007871CE"/>
    <w:rsid w:val="00790061"/>
    <w:rsid w:val="007949B2"/>
    <w:rsid w:val="007F5B58"/>
    <w:rsid w:val="00802079"/>
    <w:rsid w:val="008253E6"/>
    <w:rsid w:val="008338F1"/>
    <w:rsid w:val="008431AC"/>
    <w:rsid w:val="008968C8"/>
    <w:rsid w:val="008A4A3C"/>
    <w:rsid w:val="008B3AE0"/>
    <w:rsid w:val="008B593D"/>
    <w:rsid w:val="008D2242"/>
    <w:rsid w:val="009027EB"/>
    <w:rsid w:val="00915896"/>
    <w:rsid w:val="0091739A"/>
    <w:rsid w:val="0092595D"/>
    <w:rsid w:val="00931ACF"/>
    <w:rsid w:val="009542CF"/>
    <w:rsid w:val="0099322E"/>
    <w:rsid w:val="009A043A"/>
    <w:rsid w:val="009B50F4"/>
    <w:rsid w:val="009C037C"/>
    <w:rsid w:val="009C0CDA"/>
    <w:rsid w:val="009D5EE4"/>
    <w:rsid w:val="009E482F"/>
    <w:rsid w:val="00A004FE"/>
    <w:rsid w:val="00A07123"/>
    <w:rsid w:val="00A073B3"/>
    <w:rsid w:val="00A2248C"/>
    <w:rsid w:val="00A2568E"/>
    <w:rsid w:val="00A328EB"/>
    <w:rsid w:val="00A34FBF"/>
    <w:rsid w:val="00A37632"/>
    <w:rsid w:val="00A450C2"/>
    <w:rsid w:val="00A63B88"/>
    <w:rsid w:val="00A72D8B"/>
    <w:rsid w:val="00A87A92"/>
    <w:rsid w:val="00A97055"/>
    <w:rsid w:val="00AA0472"/>
    <w:rsid w:val="00AA1B24"/>
    <w:rsid w:val="00AA5E0C"/>
    <w:rsid w:val="00AB6EE6"/>
    <w:rsid w:val="00AE26BE"/>
    <w:rsid w:val="00AE6544"/>
    <w:rsid w:val="00AE79A0"/>
    <w:rsid w:val="00B03D55"/>
    <w:rsid w:val="00B121C4"/>
    <w:rsid w:val="00B36C5D"/>
    <w:rsid w:val="00B456EA"/>
    <w:rsid w:val="00B77146"/>
    <w:rsid w:val="00B84D02"/>
    <w:rsid w:val="00B84F42"/>
    <w:rsid w:val="00BA63F3"/>
    <w:rsid w:val="00BD7394"/>
    <w:rsid w:val="00BE0614"/>
    <w:rsid w:val="00BE7D11"/>
    <w:rsid w:val="00C21E09"/>
    <w:rsid w:val="00C32ED0"/>
    <w:rsid w:val="00C60F14"/>
    <w:rsid w:val="00C63D0B"/>
    <w:rsid w:val="00C76266"/>
    <w:rsid w:val="00C8678F"/>
    <w:rsid w:val="00CA5A7C"/>
    <w:rsid w:val="00CB781B"/>
    <w:rsid w:val="00CC1E19"/>
    <w:rsid w:val="00CC4925"/>
    <w:rsid w:val="00CF529A"/>
    <w:rsid w:val="00D0127C"/>
    <w:rsid w:val="00D02601"/>
    <w:rsid w:val="00D05216"/>
    <w:rsid w:val="00D117BF"/>
    <w:rsid w:val="00D20A90"/>
    <w:rsid w:val="00D32E04"/>
    <w:rsid w:val="00D41C81"/>
    <w:rsid w:val="00D44875"/>
    <w:rsid w:val="00D557F1"/>
    <w:rsid w:val="00D6749C"/>
    <w:rsid w:val="00D7225B"/>
    <w:rsid w:val="00DB14DD"/>
    <w:rsid w:val="00DB67B4"/>
    <w:rsid w:val="00DD74A9"/>
    <w:rsid w:val="00DD7BBC"/>
    <w:rsid w:val="00DE2FE8"/>
    <w:rsid w:val="00DE4E9D"/>
    <w:rsid w:val="00E03258"/>
    <w:rsid w:val="00E0734E"/>
    <w:rsid w:val="00E36D14"/>
    <w:rsid w:val="00E44ABD"/>
    <w:rsid w:val="00E54BA6"/>
    <w:rsid w:val="00E55031"/>
    <w:rsid w:val="00E750FB"/>
    <w:rsid w:val="00E83F24"/>
    <w:rsid w:val="00EA057A"/>
    <w:rsid w:val="00EE3B5A"/>
    <w:rsid w:val="00EF6081"/>
    <w:rsid w:val="00F1228C"/>
    <w:rsid w:val="00F14D87"/>
    <w:rsid w:val="00F17C89"/>
    <w:rsid w:val="00F25537"/>
    <w:rsid w:val="00F529BC"/>
    <w:rsid w:val="00F64F10"/>
    <w:rsid w:val="00FB7746"/>
    <w:rsid w:val="00FB7CD7"/>
    <w:rsid w:val="00FC3AE6"/>
    <w:rsid w:val="00FC6AB2"/>
    <w:rsid w:val="00FD16B0"/>
    <w:rsid w:val="00FD27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C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03DF"/>
    <w:rPr>
      <w:color w:val="0000FF" w:themeColor="hyperlink"/>
      <w:u w:val="single"/>
    </w:rPr>
  </w:style>
  <w:style w:type="character" w:styleId="FollowedHyperlink">
    <w:name w:val="FollowedHyperlink"/>
    <w:basedOn w:val="DefaultParagraphFont"/>
    <w:uiPriority w:val="99"/>
    <w:semiHidden/>
    <w:unhideWhenUsed/>
    <w:rsid w:val="00EA057A"/>
    <w:rPr>
      <w:color w:val="800080" w:themeColor="followedHyperlink"/>
      <w:u w:val="single"/>
    </w:rPr>
  </w:style>
  <w:style w:type="paragraph" w:styleId="Header">
    <w:name w:val="header"/>
    <w:basedOn w:val="Normal"/>
    <w:link w:val="HeaderChar"/>
    <w:uiPriority w:val="99"/>
    <w:semiHidden/>
    <w:unhideWhenUsed/>
    <w:rsid w:val="000E456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E456E"/>
  </w:style>
  <w:style w:type="paragraph" w:styleId="Footer">
    <w:name w:val="footer"/>
    <w:basedOn w:val="Normal"/>
    <w:link w:val="FooterChar"/>
    <w:uiPriority w:val="99"/>
    <w:unhideWhenUsed/>
    <w:rsid w:val="000E45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56E"/>
  </w:style>
  <w:style w:type="paragraph" w:styleId="BalloonText">
    <w:name w:val="Balloon Text"/>
    <w:basedOn w:val="Normal"/>
    <w:link w:val="BalloonTextChar"/>
    <w:uiPriority w:val="99"/>
    <w:semiHidden/>
    <w:unhideWhenUsed/>
    <w:rsid w:val="000E4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5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srandthelaw.com/2012/12/brazils-belo-monte-move-will-national-development-banks-start-taking-human-rights-and-environmental-concerns-more-seriously/?utm_source=feedburner&amp;utm_medium=email&amp;utm_campaign=Feed%3A+csrandthelaw+%28Corporate+Social+Re" TargetMode="External"/><Relationship Id="rId13" Type="http://schemas.openxmlformats.org/officeDocument/2006/relationships/hyperlink" Target="http://www.kachinnews.com/news/2342-chinese-company-tries-to-gain-the-support-of-locals-to-restart-myitsone-dam-project.html" TargetMode="External"/><Relationship Id="rId18" Type="http://schemas.openxmlformats.org/officeDocument/2006/relationships/hyperlink" Target="http://www.nytimes.com/2012/01/04/world/americas/ecuador-18-billion-ruling-against-chevron-is-upheld.html" TargetMode="External"/><Relationship Id="rId26" Type="http://schemas.openxmlformats.org/officeDocument/2006/relationships/hyperlink" Target="http://www.sec.gov/about/laws/wallstreetreform-cpa.pdf" TargetMode="External"/><Relationship Id="rId39" Type="http://schemas.openxmlformats.org/officeDocument/2006/relationships/hyperlink" Target="http://www.asil.org/pdfs/insights/insight121128.pdf" TargetMode="External"/><Relationship Id="rId3" Type="http://schemas.openxmlformats.org/officeDocument/2006/relationships/webSettings" Target="webSettings.xml"/><Relationship Id="rId21" Type="http://schemas.openxmlformats.org/officeDocument/2006/relationships/hyperlink" Target="http://www.sarawakscore.com.my/modules/recoda/" TargetMode="External"/><Relationship Id="rId34" Type="http://schemas.openxmlformats.org/officeDocument/2006/relationships/hyperlink" Target="http://www.oas.org/en/iachr/" TargetMode="External"/><Relationship Id="rId42" Type="http://schemas.openxmlformats.org/officeDocument/2006/relationships/fontTable" Target="fontTable.xml"/><Relationship Id="rId7" Type="http://schemas.openxmlformats.org/officeDocument/2006/relationships/hyperlink" Target="http://www.bndes.gov.br/" TargetMode="External"/><Relationship Id="rId12" Type="http://schemas.openxmlformats.org/officeDocument/2006/relationships/hyperlink" Target="http://www.csrandthelaw.com/2012/11/social-risk-assessment-china-raises-its-game/?utm_source=feedburner&amp;utm_medium=email&amp;utm_campaign=Feed%3A+csrandthelaw+%28Corporate+Social+Responsibility+and+the+Law%29" TargetMode="External"/><Relationship Id="rId17" Type="http://schemas.openxmlformats.org/officeDocument/2006/relationships/hyperlink" Target="http://www.scribd.com/doc/116292660/Billenness-Subpoena" TargetMode="External"/><Relationship Id="rId25" Type="http://schemas.openxmlformats.org/officeDocument/2006/relationships/hyperlink" Target="http://www.sec.gov/" TargetMode="External"/><Relationship Id="rId33" Type="http://schemas.openxmlformats.org/officeDocument/2006/relationships/hyperlink" Target="http://www.asil.org/pdfs/insights/insight121128.pdf" TargetMode="External"/><Relationship Id="rId38" Type="http://schemas.openxmlformats.org/officeDocument/2006/relationships/hyperlink" Target="http://newleftreview.org/" TargetMode="External"/><Relationship Id="rId2" Type="http://schemas.openxmlformats.org/officeDocument/2006/relationships/settings" Target="settings.xml"/><Relationship Id="rId16" Type="http://schemas.openxmlformats.org/officeDocument/2006/relationships/hyperlink" Target="http://businessmirror.com.ph/index.php/news/regions/569-aytas-governor-support-entry-of-investors-in-nabuklod" TargetMode="External"/><Relationship Id="rId20" Type="http://schemas.openxmlformats.org/officeDocument/2006/relationships/hyperlink" Target="http://seekingalpha.com/article/1027071-chevron-a-dividend-champion-in-trouble" TargetMode="External"/><Relationship Id="rId29" Type="http://schemas.openxmlformats.org/officeDocument/2006/relationships/hyperlink" Target="http://www.csrandthelaw.com/2012/10/u-s-chamber-of-commerce-sues-sec-to-overturn-extractive-industry-transparency-rule/?utm_source=feedburner&amp;utm_medium=email&amp;utm_campaign=Feed%3A+csrandthelaw+%28Corporate+Social+Responsibility+and+the+Law%29" TargetMode="External"/><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nytimes.com/2012/10/29/world/asia/protests-against-sinopec-plant-in-china-reach-third-day.html" TargetMode="External"/><Relationship Id="rId24" Type="http://schemas.openxmlformats.org/officeDocument/2006/relationships/hyperlink" Target="http://ens-newswire.com/2012/12/05/hydro-tasmania-to-withdraw-from-sarawak-dam-building-program/" TargetMode="External"/><Relationship Id="rId32" Type="http://schemas.openxmlformats.org/officeDocument/2006/relationships/hyperlink" Target="http://www.asil.org/" TargetMode="External"/><Relationship Id="rId37" Type="http://schemas.openxmlformats.org/officeDocument/2006/relationships/hyperlink" Target="http://www.oas.org/en/default.asp" TargetMode="External"/><Relationship Id="rId40" Type="http://schemas.openxmlformats.org/officeDocument/2006/relationships/hyperlink" Target="http://www.greenleft.org.au/node/52789" TargetMode="External"/><Relationship Id="rId5" Type="http://schemas.openxmlformats.org/officeDocument/2006/relationships/endnotes" Target="endnotes.xml"/><Relationship Id="rId15" Type="http://schemas.openxmlformats.org/officeDocument/2006/relationships/hyperlink" Target="http://www.messagestick.com.au/section/41-in-the-news.aspx" TargetMode="External"/><Relationship Id="rId23" Type="http://schemas.openxmlformats.org/officeDocument/2006/relationships/hyperlink" Target="http://newmatilda.com/2012/11/29/sarawak-leaders-protest-australia" TargetMode="External"/><Relationship Id="rId28" Type="http://schemas.openxmlformats.org/officeDocument/2006/relationships/hyperlink" Target="http://www.bloomberg.com/news/2012-10-22/sec-sued-over-conflict-minerals-rule-by-business-groups.html" TargetMode="External"/><Relationship Id="rId36" Type="http://schemas.openxmlformats.org/officeDocument/2006/relationships/hyperlink" Target="http://www.ilo.org/indigenous/Conventions/no169/lang--en/index.htm" TargetMode="External"/><Relationship Id="rId10" Type="http://schemas.openxmlformats.org/officeDocument/2006/relationships/hyperlink" Target="http://www.nytimes.com/2012/11/13/world/asia/china-mandates-social-risk-reviews-for-big-projects.html" TargetMode="External"/><Relationship Id="rId19" Type="http://schemas.openxmlformats.org/officeDocument/2006/relationships/hyperlink" Target="http://www.nytimes.com/2012/12/09/business/chevron-takes-aim-at-an-activist-shareholder.html?pagewanted=1&amp;_r=2&amp;ref=business" TargetMode="External"/><Relationship Id="rId31" Type="http://schemas.openxmlformats.org/officeDocument/2006/relationships/hyperlink" Target="http://www.nytimes.com/2012/10/12/us/tribes-add-powerful-voice-against-northwest-coal-plan.html?pagewanted=all" TargetMode="External"/><Relationship Id="rId4" Type="http://schemas.openxmlformats.org/officeDocument/2006/relationships/footnotes" Target="footnotes.xml"/><Relationship Id="rId9" Type="http://schemas.openxmlformats.org/officeDocument/2006/relationships/hyperlink" Target="http://www.csrandthelaw.com/2012/11/social-risk-assessment-china-raises-its-game/?utm_source=feedburner&amp;utm_medium=email&amp;utm_campaign=Feed%3A+csrandthelaw+%28Corporate+Social+Responsibility+and+the+Law%29" TargetMode="External"/><Relationship Id="rId14" Type="http://schemas.openxmlformats.org/officeDocument/2006/relationships/hyperlink" Target="http://www.iba.gov.au/" TargetMode="External"/><Relationship Id="rId22" Type="http://schemas.openxmlformats.org/officeDocument/2006/relationships/hyperlink" Target="http://www.sarawakreport.org/2012/12/pulling-out-hydro-tasmania-is-to-quit-sarawak-exclusive/" TargetMode="External"/><Relationship Id="rId27" Type="http://schemas.openxmlformats.org/officeDocument/2006/relationships/hyperlink" Target="http://thehill.com/blogs/e2-wire/e2-wire/261377-oil-business-groups-sue-sec-over-disclosure-rule" TargetMode="External"/><Relationship Id="rId30" Type="http://schemas.openxmlformats.org/officeDocument/2006/relationships/hyperlink" Target="http://www.atnitribes.org/" TargetMode="External"/><Relationship Id="rId35" Type="http://schemas.openxmlformats.org/officeDocument/2006/relationships/hyperlink" Target="http://www.amnesty.org/en/news/ecuador-inter-american-court-ruling-marks-key-victory-indigenous-peoples-2012-07-26"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tel:%28540%29%20899-6545" TargetMode="External"/><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837</TotalTime>
  <Pages>5</Pages>
  <Words>2009</Words>
  <Characters>11453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npelosi</dc:creator>
  <cp:keywords/>
  <dc:description/>
  <cp:lastModifiedBy>npelosi</cp:lastModifiedBy>
  <cp:revision>120</cp:revision>
  <cp:lastPrinted>2012-12-17T18:27:00Z</cp:lastPrinted>
  <dcterms:created xsi:type="dcterms:W3CDTF">2012-12-06T14:23:00Z</dcterms:created>
  <dcterms:modified xsi:type="dcterms:W3CDTF">2013-01-03T18:40:00Z</dcterms:modified>
</cp:coreProperties>
</file>